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1F53" w14:textId="77777777" w:rsidR="00680BFB" w:rsidRDefault="00680BFB">
      <w:pPr>
        <w:spacing w:line="440" w:lineRule="exact"/>
        <w:jc w:val="center"/>
        <w:rPr>
          <w:rFonts w:ascii="Times New Roman" w:hAnsi="Times New Roman"/>
          <w:b/>
          <w:szCs w:val="21"/>
        </w:rPr>
      </w:pPr>
    </w:p>
    <w:p w14:paraId="2A1546C5" w14:textId="0CA630E3" w:rsidR="00DC0637" w:rsidRPr="00527C49" w:rsidRDefault="00462D52">
      <w:pPr>
        <w:spacing w:line="440" w:lineRule="exact"/>
        <w:jc w:val="center"/>
        <w:rPr>
          <w:rFonts w:ascii="黑体" w:eastAsia="黑体" w:hAnsi="Times New Roman"/>
          <w:sz w:val="36"/>
          <w:szCs w:val="36"/>
        </w:rPr>
      </w:pPr>
      <w:r w:rsidRPr="00527C49">
        <w:rPr>
          <w:rFonts w:ascii="黑体" w:eastAsia="黑体" w:hAnsi="Times New Roman" w:hint="eastAsia"/>
          <w:sz w:val="36"/>
          <w:szCs w:val="36"/>
        </w:rPr>
        <w:t>经营者集中简易案件公示表</w:t>
      </w:r>
    </w:p>
    <w:p w14:paraId="0D48AF83" w14:textId="77777777" w:rsidR="00DC0637" w:rsidRDefault="00DC0637">
      <w:pPr>
        <w:spacing w:line="440" w:lineRule="exact"/>
        <w:rPr>
          <w:rFonts w:ascii="黑体" w:eastAsia="黑体" w:hAnsi="Times New Roman"/>
          <w:sz w:val="28"/>
          <w:szCs w:val="28"/>
        </w:rPr>
      </w:pPr>
    </w:p>
    <w:p w14:paraId="3881F40E" w14:textId="77777777" w:rsidR="00DC0637" w:rsidRDefault="00DC0637">
      <w:pPr>
        <w:spacing w:line="440" w:lineRule="exact"/>
        <w:ind w:firstLineChars="302" w:firstLine="846"/>
        <w:rPr>
          <w:rFonts w:ascii="仿宋_GB2312" w:eastAsia="仿宋_GB2312" w:hAnsi="Times New Roman"/>
          <w:sz w:val="28"/>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014"/>
        <w:gridCol w:w="4935"/>
      </w:tblGrid>
      <w:tr w:rsidR="00DC0637" w:rsidRPr="00527C49" w14:paraId="0FB92C74" w14:textId="77777777">
        <w:tc>
          <w:tcPr>
            <w:tcW w:w="1809" w:type="dxa"/>
            <w:shd w:val="clear" w:color="auto" w:fill="D9D9D9"/>
            <w:vAlign w:val="center"/>
          </w:tcPr>
          <w:p w14:paraId="6C7C9127"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案件名称</w:t>
            </w:r>
          </w:p>
        </w:tc>
        <w:tc>
          <w:tcPr>
            <w:tcW w:w="6949" w:type="dxa"/>
            <w:gridSpan w:val="2"/>
          </w:tcPr>
          <w:p w14:paraId="01D97DBB" w14:textId="59C3E9B6" w:rsidR="00DC0637" w:rsidRPr="00527C49" w:rsidRDefault="008B1B71" w:rsidP="006A0A52">
            <w:pPr>
              <w:tabs>
                <w:tab w:val="left" w:pos="1800"/>
              </w:tabs>
              <w:spacing w:line="360" w:lineRule="auto"/>
              <w:rPr>
                <w:rFonts w:ascii="宋体" w:hAnsi="宋体" w:cs="宋体"/>
                <w:color w:val="333333"/>
                <w:kern w:val="0"/>
                <w:sz w:val="24"/>
                <w:szCs w:val="24"/>
              </w:rPr>
            </w:pPr>
            <w:r w:rsidRPr="008B1B71">
              <w:rPr>
                <w:rFonts w:ascii="宋体" w:hAnsi="宋体" w:cs="宋体" w:hint="eastAsia"/>
                <w:color w:val="333333"/>
                <w:kern w:val="0"/>
                <w:sz w:val="24"/>
                <w:szCs w:val="24"/>
              </w:rPr>
              <w:t>国投健康产业投资有限公司与中国兵器装备集团杭州疗养院新设合营企业案</w:t>
            </w:r>
          </w:p>
        </w:tc>
      </w:tr>
      <w:tr w:rsidR="00DC0637" w:rsidRPr="00527C49" w14:paraId="03935D4E" w14:textId="77777777">
        <w:trPr>
          <w:trHeight w:val="993"/>
        </w:trPr>
        <w:tc>
          <w:tcPr>
            <w:tcW w:w="1809" w:type="dxa"/>
            <w:shd w:val="clear" w:color="auto" w:fill="D9D9D9"/>
            <w:vAlign w:val="center"/>
          </w:tcPr>
          <w:p w14:paraId="4DEB167D"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交易概况</w:t>
            </w:r>
          </w:p>
          <w:p w14:paraId="4ECA9AAB"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（限200字内）</w:t>
            </w:r>
          </w:p>
        </w:tc>
        <w:tc>
          <w:tcPr>
            <w:tcW w:w="6949" w:type="dxa"/>
            <w:gridSpan w:val="2"/>
          </w:tcPr>
          <w:p w14:paraId="4D9C631E" w14:textId="7A418B97" w:rsidR="007034E0" w:rsidRPr="007034E0" w:rsidRDefault="007034E0" w:rsidP="007034E0">
            <w:pPr>
              <w:spacing w:beforeLines="50" w:before="156" w:afterLines="50" w:after="156" w:line="360" w:lineRule="auto"/>
              <w:rPr>
                <w:rFonts w:ascii="宋体" w:hAnsi="宋体"/>
                <w:sz w:val="24"/>
                <w:szCs w:val="24"/>
              </w:rPr>
            </w:pPr>
            <w:r w:rsidRPr="00AD1E96">
              <w:rPr>
                <w:rFonts w:ascii="宋体" w:hAnsi="宋体" w:hint="eastAsia"/>
                <w:sz w:val="24"/>
                <w:szCs w:val="24"/>
              </w:rPr>
              <w:t>国投健康产业投资有限公司</w:t>
            </w:r>
            <w:r>
              <w:rPr>
                <w:rFonts w:ascii="宋体" w:hAnsi="宋体" w:hint="eastAsia"/>
                <w:sz w:val="24"/>
                <w:szCs w:val="24"/>
              </w:rPr>
              <w:t>（“国投健康”）与</w:t>
            </w:r>
            <w:r w:rsidRPr="00AD1E96">
              <w:rPr>
                <w:rFonts w:ascii="宋体" w:hAnsi="宋体" w:hint="eastAsia"/>
                <w:sz w:val="24"/>
                <w:szCs w:val="24"/>
              </w:rPr>
              <w:t>中国兵器装备集团杭州疗养院</w:t>
            </w:r>
            <w:r>
              <w:rPr>
                <w:rFonts w:ascii="宋体" w:hAnsi="宋体" w:hint="eastAsia"/>
                <w:sz w:val="24"/>
                <w:szCs w:val="24"/>
              </w:rPr>
              <w:t>（“杭州疗养院”）签署</w:t>
            </w:r>
            <w:r w:rsidRPr="007034E0">
              <w:rPr>
                <w:rFonts w:ascii="宋体" w:hAnsi="宋体" w:hint="eastAsia"/>
                <w:sz w:val="24"/>
                <w:szCs w:val="24"/>
              </w:rPr>
              <w:t>合资合作协议</w:t>
            </w:r>
            <w:r>
              <w:rPr>
                <w:rFonts w:ascii="宋体" w:hAnsi="宋体" w:hint="eastAsia"/>
                <w:sz w:val="24"/>
                <w:szCs w:val="24"/>
              </w:rPr>
              <w:t>，拟</w:t>
            </w:r>
            <w:r w:rsidRPr="00AD1E96">
              <w:rPr>
                <w:rFonts w:ascii="宋体" w:hAnsi="宋体" w:hint="eastAsia"/>
                <w:sz w:val="24"/>
                <w:szCs w:val="24"/>
              </w:rPr>
              <w:t>共同出资</w:t>
            </w:r>
            <w:r>
              <w:rPr>
                <w:rFonts w:ascii="宋体" w:hAnsi="宋体" w:hint="eastAsia"/>
                <w:sz w:val="24"/>
                <w:szCs w:val="24"/>
              </w:rPr>
              <w:t>新设一家合营企业。合营企业将在杭州市从事机构养老服务业务。交易后，国投健康将持有合营企业6</w:t>
            </w:r>
            <w:r>
              <w:rPr>
                <w:rFonts w:ascii="宋体" w:hAnsi="宋体"/>
                <w:sz w:val="24"/>
                <w:szCs w:val="24"/>
              </w:rPr>
              <w:t>0%</w:t>
            </w:r>
            <w:r>
              <w:rPr>
                <w:rFonts w:ascii="宋体" w:hAnsi="宋体" w:hint="eastAsia"/>
                <w:sz w:val="24"/>
                <w:szCs w:val="24"/>
              </w:rPr>
              <w:t>的股份，杭州疗养院将持有合营企业4</w:t>
            </w:r>
            <w:r>
              <w:rPr>
                <w:rFonts w:ascii="宋体" w:hAnsi="宋体"/>
                <w:sz w:val="24"/>
                <w:szCs w:val="24"/>
              </w:rPr>
              <w:t>0%</w:t>
            </w:r>
            <w:r>
              <w:rPr>
                <w:rFonts w:ascii="宋体" w:hAnsi="宋体" w:hint="eastAsia"/>
                <w:sz w:val="24"/>
                <w:szCs w:val="24"/>
              </w:rPr>
              <w:t>的股份，国投健康和杭州疗养院共同控制合营企业。</w:t>
            </w:r>
          </w:p>
        </w:tc>
      </w:tr>
      <w:tr w:rsidR="00187366" w:rsidRPr="00463315" w14:paraId="3B0EE10B" w14:textId="77777777" w:rsidTr="008F31FC">
        <w:trPr>
          <w:trHeight w:val="468"/>
        </w:trPr>
        <w:tc>
          <w:tcPr>
            <w:tcW w:w="1809" w:type="dxa"/>
            <w:vMerge w:val="restart"/>
            <w:shd w:val="clear" w:color="auto" w:fill="D9D9D9"/>
            <w:vAlign w:val="center"/>
          </w:tcPr>
          <w:p w14:paraId="476F1FED" w14:textId="77777777" w:rsidR="00187366" w:rsidRPr="00527C49" w:rsidRDefault="00187366"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参与集中的</w:t>
            </w:r>
          </w:p>
          <w:p w14:paraId="0D288F7B" w14:textId="77777777" w:rsidR="00187366" w:rsidRPr="00527C49" w:rsidRDefault="00187366"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经营者简介</w:t>
            </w:r>
          </w:p>
        </w:tc>
        <w:tc>
          <w:tcPr>
            <w:tcW w:w="2014" w:type="dxa"/>
          </w:tcPr>
          <w:p w14:paraId="681526FD" w14:textId="1D542B53" w:rsidR="00187366" w:rsidRPr="00527C49" w:rsidRDefault="00187366"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1、</w:t>
            </w:r>
            <w:r w:rsidR="007034E0" w:rsidRPr="00AD1E96">
              <w:rPr>
                <w:rFonts w:ascii="宋体" w:hAnsi="宋体" w:hint="eastAsia"/>
                <w:sz w:val="24"/>
                <w:szCs w:val="24"/>
              </w:rPr>
              <w:t>国投健康产业投资有限公司</w:t>
            </w:r>
            <w:r w:rsidR="007034E0">
              <w:rPr>
                <w:rFonts w:ascii="宋体" w:hAnsi="宋体" w:hint="eastAsia"/>
                <w:sz w:val="24"/>
                <w:szCs w:val="24"/>
              </w:rPr>
              <w:t>（“国投健康”）</w:t>
            </w:r>
          </w:p>
        </w:tc>
        <w:tc>
          <w:tcPr>
            <w:tcW w:w="4935" w:type="dxa"/>
          </w:tcPr>
          <w:p w14:paraId="770CE750" w14:textId="324C3F7D" w:rsidR="00917D46" w:rsidRDefault="00917D46" w:rsidP="00DD3777">
            <w:pPr>
              <w:spacing w:line="360" w:lineRule="auto"/>
              <w:rPr>
                <w:rFonts w:ascii="宋体" w:hAnsi="宋体" w:cs="宋体"/>
                <w:color w:val="333333"/>
                <w:kern w:val="0"/>
                <w:sz w:val="24"/>
                <w:szCs w:val="24"/>
              </w:rPr>
            </w:pPr>
            <w:r>
              <w:rPr>
                <w:rFonts w:ascii="宋体" w:hAnsi="宋体" w:cs="宋体" w:hint="eastAsia"/>
                <w:color w:val="333333"/>
                <w:kern w:val="0"/>
                <w:sz w:val="24"/>
                <w:szCs w:val="24"/>
              </w:rPr>
              <w:t>国投健康于</w:t>
            </w:r>
            <w:r>
              <w:rPr>
                <w:rFonts w:ascii="宋体" w:hAnsi="宋体" w:cs="宋体"/>
                <w:color w:val="333333"/>
                <w:kern w:val="0"/>
                <w:sz w:val="24"/>
                <w:szCs w:val="24"/>
              </w:rPr>
              <w:t>2016</w:t>
            </w:r>
            <w:r>
              <w:rPr>
                <w:rFonts w:ascii="宋体" w:hAnsi="宋体" w:cs="宋体" w:hint="eastAsia"/>
                <w:color w:val="333333"/>
                <w:kern w:val="0"/>
                <w:sz w:val="24"/>
                <w:szCs w:val="24"/>
              </w:rPr>
              <w:t>年1</w:t>
            </w:r>
            <w:r>
              <w:rPr>
                <w:rFonts w:ascii="宋体" w:hAnsi="宋体" w:cs="宋体"/>
                <w:color w:val="333333"/>
                <w:kern w:val="0"/>
                <w:sz w:val="24"/>
                <w:szCs w:val="24"/>
              </w:rPr>
              <w:t>1</w:t>
            </w:r>
            <w:r>
              <w:rPr>
                <w:rFonts w:ascii="宋体" w:hAnsi="宋体" w:cs="宋体" w:hint="eastAsia"/>
                <w:color w:val="333333"/>
                <w:kern w:val="0"/>
                <w:sz w:val="24"/>
                <w:szCs w:val="24"/>
              </w:rPr>
              <w:t>月1</w:t>
            </w:r>
            <w:r>
              <w:rPr>
                <w:rFonts w:ascii="宋体" w:hAnsi="宋体" w:cs="宋体"/>
                <w:color w:val="333333"/>
                <w:kern w:val="0"/>
                <w:sz w:val="24"/>
                <w:szCs w:val="24"/>
              </w:rPr>
              <w:t>8</w:t>
            </w:r>
            <w:r>
              <w:rPr>
                <w:rFonts w:ascii="宋体" w:hAnsi="宋体" w:cs="宋体" w:hint="eastAsia"/>
                <w:color w:val="333333"/>
                <w:kern w:val="0"/>
                <w:sz w:val="24"/>
                <w:szCs w:val="24"/>
              </w:rPr>
              <w:t>日成立于上海市，主要业务为</w:t>
            </w:r>
            <w:r w:rsidRPr="00917D46">
              <w:rPr>
                <w:rFonts w:ascii="宋体" w:hAnsi="宋体" w:cs="宋体" w:hint="eastAsia"/>
                <w:color w:val="333333"/>
                <w:kern w:val="0"/>
                <w:sz w:val="24"/>
                <w:szCs w:val="24"/>
              </w:rPr>
              <w:t>投资管理</w:t>
            </w:r>
            <w:r>
              <w:rPr>
                <w:rFonts w:ascii="宋体" w:hAnsi="宋体" w:cs="宋体" w:hint="eastAsia"/>
                <w:color w:val="333333"/>
                <w:kern w:val="0"/>
                <w:sz w:val="24"/>
                <w:szCs w:val="24"/>
              </w:rPr>
              <w:t>、</w:t>
            </w:r>
            <w:r w:rsidRPr="00917D46">
              <w:rPr>
                <w:rFonts w:ascii="宋体" w:hAnsi="宋体" w:cs="宋体" w:hint="eastAsia"/>
                <w:color w:val="333333"/>
                <w:kern w:val="0"/>
                <w:sz w:val="24"/>
                <w:szCs w:val="24"/>
              </w:rPr>
              <w:t>健康咨询</w:t>
            </w:r>
            <w:r>
              <w:rPr>
                <w:rFonts w:ascii="宋体" w:hAnsi="宋体" w:cs="宋体" w:hint="eastAsia"/>
                <w:color w:val="333333"/>
                <w:kern w:val="0"/>
                <w:sz w:val="24"/>
                <w:szCs w:val="24"/>
              </w:rPr>
              <w:t>、</w:t>
            </w:r>
            <w:r w:rsidRPr="00917D46">
              <w:rPr>
                <w:rFonts w:ascii="宋体" w:hAnsi="宋体" w:cs="宋体" w:hint="eastAsia"/>
                <w:color w:val="333333"/>
                <w:kern w:val="0"/>
                <w:sz w:val="24"/>
                <w:szCs w:val="24"/>
              </w:rPr>
              <w:t>投资咨询</w:t>
            </w:r>
            <w:r>
              <w:rPr>
                <w:rFonts w:ascii="宋体" w:hAnsi="宋体" w:cs="宋体" w:hint="eastAsia"/>
                <w:color w:val="333333"/>
                <w:kern w:val="0"/>
                <w:sz w:val="24"/>
                <w:szCs w:val="24"/>
              </w:rPr>
              <w:t>、</w:t>
            </w:r>
            <w:r w:rsidRPr="00917D46">
              <w:rPr>
                <w:rFonts w:ascii="宋体" w:hAnsi="宋体" w:cs="宋体" w:hint="eastAsia"/>
                <w:color w:val="333333"/>
                <w:kern w:val="0"/>
                <w:sz w:val="24"/>
                <w:szCs w:val="24"/>
              </w:rPr>
              <w:t>企业管理</w:t>
            </w:r>
            <w:r>
              <w:rPr>
                <w:rFonts w:ascii="宋体" w:hAnsi="宋体" w:cs="宋体" w:hint="eastAsia"/>
                <w:color w:val="333333"/>
                <w:kern w:val="0"/>
                <w:sz w:val="24"/>
                <w:szCs w:val="24"/>
              </w:rPr>
              <w:t>、</w:t>
            </w:r>
            <w:r w:rsidRPr="00917D46">
              <w:rPr>
                <w:rFonts w:ascii="宋体" w:hAnsi="宋体" w:cs="宋体" w:hint="eastAsia"/>
                <w:color w:val="333333"/>
                <w:kern w:val="0"/>
                <w:sz w:val="24"/>
                <w:szCs w:val="24"/>
              </w:rPr>
              <w:t>企业管理咨询</w:t>
            </w:r>
            <w:r>
              <w:rPr>
                <w:rFonts w:ascii="宋体" w:hAnsi="宋体" w:cs="宋体" w:hint="eastAsia"/>
                <w:color w:val="333333"/>
                <w:kern w:val="0"/>
                <w:sz w:val="24"/>
                <w:szCs w:val="24"/>
              </w:rPr>
              <w:t>、</w:t>
            </w:r>
            <w:r w:rsidRPr="00917D46">
              <w:rPr>
                <w:rFonts w:ascii="宋体" w:hAnsi="宋体" w:cs="宋体" w:hint="eastAsia"/>
                <w:color w:val="333333"/>
                <w:kern w:val="0"/>
                <w:sz w:val="24"/>
                <w:szCs w:val="24"/>
              </w:rPr>
              <w:t>为老年人提供社区托养、居家照顾等社区养老服务</w:t>
            </w:r>
            <w:r w:rsidR="00755BF5">
              <w:rPr>
                <w:rFonts w:ascii="宋体" w:hAnsi="宋体" w:cs="宋体" w:hint="eastAsia"/>
                <w:color w:val="333333"/>
                <w:kern w:val="0"/>
                <w:sz w:val="24"/>
                <w:szCs w:val="24"/>
              </w:rPr>
              <w:t>等</w:t>
            </w:r>
            <w:r>
              <w:rPr>
                <w:rFonts w:ascii="宋体" w:hAnsi="宋体" w:cs="宋体" w:hint="eastAsia"/>
                <w:color w:val="333333"/>
                <w:kern w:val="0"/>
                <w:sz w:val="24"/>
                <w:szCs w:val="24"/>
              </w:rPr>
              <w:t>。</w:t>
            </w:r>
          </w:p>
          <w:p w14:paraId="0E85B8CA" w14:textId="3720CB6C" w:rsidR="00917D46" w:rsidRPr="00527C49" w:rsidRDefault="00917D46" w:rsidP="00DD3777">
            <w:pPr>
              <w:spacing w:line="360" w:lineRule="auto"/>
              <w:rPr>
                <w:rFonts w:ascii="宋体" w:hAnsi="宋体" w:cs="宋体"/>
                <w:color w:val="333333"/>
                <w:kern w:val="0"/>
                <w:sz w:val="24"/>
                <w:szCs w:val="24"/>
              </w:rPr>
            </w:pPr>
            <w:r>
              <w:rPr>
                <w:rFonts w:ascii="宋体" w:hAnsi="宋体" w:cs="宋体" w:hint="eastAsia"/>
                <w:color w:val="333333"/>
                <w:kern w:val="0"/>
                <w:sz w:val="24"/>
                <w:szCs w:val="24"/>
              </w:rPr>
              <w:t>国投健康的最终控制人为</w:t>
            </w:r>
            <w:r w:rsidRPr="00917D46">
              <w:rPr>
                <w:rFonts w:ascii="宋体" w:hAnsi="宋体" w:cs="宋体"/>
                <w:color w:val="333333"/>
                <w:kern w:val="0"/>
                <w:sz w:val="24"/>
                <w:szCs w:val="24"/>
              </w:rPr>
              <w:t>国家开发投资集团有限公司</w:t>
            </w:r>
            <w:r>
              <w:rPr>
                <w:rFonts w:ascii="宋体" w:hAnsi="宋体" w:cs="宋体" w:hint="eastAsia"/>
                <w:color w:val="333333"/>
                <w:kern w:val="0"/>
                <w:sz w:val="24"/>
                <w:szCs w:val="24"/>
              </w:rPr>
              <w:t>，主要业务为</w:t>
            </w:r>
            <w:r w:rsidR="00755BF5" w:rsidRPr="00755BF5">
              <w:rPr>
                <w:rFonts w:ascii="宋体" w:hAnsi="宋体" w:cs="宋体" w:hint="eastAsia"/>
                <w:color w:val="333333"/>
                <w:kern w:val="0"/>
                <w:sz w:val="24"/>
                <w:szCs w:val="24"/>
              </w:rPr>
              <w:t>经营国务院授权范围内的国有资产并开展有关投资业务</w:t>
            </w:r>
            <w:r w:rsidR="00755BF5">
              <w:rPr>
                <w:rFonts w:ascii="宋体" w:hAnsi="宋体" w:cs="宋体" w:hint="eastAsia"/>
                <w:color w:val="333333"/>
                <w:kern w:val="0"/>
                <w:sz w:val="24"/>
                <w:szCs w:val="24"/>
              </w:rPr>
              <w:t>等。</w:t>
            </w:r>
          </w:p>
        </w:tc>
      </w:tr>
      <w:tr w:rsidR="008F31FC" w:rsidRPr="00527C49" w14:paraId="53455478" w14:textId="77777777" w:rsidTr="008F31FC">
        <w:trPr>
          <w:trHeight w:val="1487"/>
        </w:trPr>
        <w:tc>
          <w:tcPr>
            <w:tcW w:w="1809" w:type="dxa"/>
            <w:vMerge/>
            <w:shd w:val="clear" w:color="auto" w:fill="D9D9D9"/>
            <w:vAlign w:val="center"/>
          </w:tcPr>
          <w:p w14:paraId="44DC3DA9" w14:textId="77777777" w:rsidR="008F31FC" w:rsidRPr="00527C49" w:rsidRDefault="008F31FC" w:rsidP="006A0A52">
            <w:pPr>
              <w:spacing w:line="360" w:lineRule="auto"/>
              <w:jc w:val="center"/>
              <w:rPr>
                <w:rFonts w:ascii="宋体" w:hAnsi="宋体" w:cs="宋体"/>
                <w:color w:val="333333"/>
                <w:kern w:val="0"/>
                <w:sz w:val="24"/>
                <w:szCs w:val="24"/>
              </w:rPr>
            </w:pPr>
          </w:p>
        </w:tc>
        <w:tc>
          <w:tcPr>
            <w:tcW w:w="2014" w:type="dxa"/>
          </w:tcPr>
          <w:p w14:paraId="50364DFE" w14:textId="367AFA3E" w:rsidR="008F31FC" w:rsidRPr="00527C49" w:rsidRDefault="008F31FC"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2、</w:t>
            </w:r>
            <w:r w:rsidR="007034E0" w:rsidRPr="00AD1E96">
              <w:rPr>
                <w:rFonts w:ascii="宋体" w:hAnsi="宋体" w:hint="eastAsia"/>
                <w:sz w:val="24"/>
                <w:szCs w:val="24"/>
              </w:rPr>
              <w:t>中国兵器装备集团杭州疗养院</w:t>
            </w:r>
            <w:r w:rsidR="007034E0">
              <w:rPr>
                <w:rFonts w:ascii="宋体" w:hAnsi="宋体" w:hint="eastAsia"/>
                <w:sz w:val="24"/>
                <w:szCs w:val="24"/>
              </w:rPr>
              <w:t>（“杭州疗养院”）</w:t>
            </w:r>
          </w:p>
        </w:tc>
        <w:tc>
          <w:tcPr>
            <w:tcW w:w="4935" w:type="dxa"/>
          </w:tcPr>
          <w:p w14:paraId="6E5EA8CF" w14:textId="77777777" w:rsidR="00755BF5" w:rsidRDefault="00755BF5" w:rsidP="006A0A52">
            <w:pPr>
              <w:spacing w:line="360" w:lineRule="auto"/>
              <w:rPr>
                <w:rFonts w:ascii="宋体" w:hAnsi="宋体" w:cs="宋体"/>
                <w:color w:val="333333"/>
                <w:kern w:val="0"/>
                <w:sz w:val="24"/>
                <w:szCs w:val="24"/>
              </w:rPr>
            </w:pPr>
            <w:r>
              <w:rPr>
                <w:rFonts w:ascii="宋体" w:hAnsi="宋体" w:cs="宋体" w:hint="eastAsia"/>
                <w:color w:val="333333"/>
                <w:kern w:val="0"/>
                <w:sz w:val="24"/>
                <w:szCs w:val="24"/>
              </w:rPr>
              <w:t>杭州疗养院于1</w:t>
            </w:r>
            <w:r>
              <w:rPr>
                <w:rFonts w:ascii="宋体" w:hAnsi="宋体" w:cs="宋体"/>
                <w:color w:val="333333"/>
                <w:kern w:val="0"/>
                <w:sz w:val="24"/>
                <w:szCs w:val="24"/>
              </w:rPr>
              <w:t>983</w:t>
            </w:r>
            <w:r>
              <w:rPr>
                <w:rFonts w:ascii="宋体" w:hAnsi="宋体" w:cs="宋体" w:hint="eastAsia"/>
                <w:color w:val="333333"/>
                <w:kern w:val="0"/>
                <w:sz w:val="24"/>
                <w:szCs w:val="24"/>
              </w:rPr>
              <w:t>年7月2</w:t>
            </w:r>
            <w:r>
              <w:rPr>
                <w:rFonts w:ascii="宋体" w:hAnsi="宋体" w:cs="宋体"/>
                <w:color w:val="333333"/>
                <w:kern w:val="0"/>
                <w:sz w:val="24"/>
                <w:szCs w:val="24"/>
              </w:rPr>
              <w:t>9</w:t>
            </w:r>
            <w:r>
              <w:rPr>
                <w:rFonts w:ascii="宋体" w:hAnsi="宋体" w:cs="宋体" w:hint="eastAsia"/>
                <w:color w:val="333333"/>
                <w:kern w:val="0"/>
                <w:sz w:val="24"/>
                <w:szCs w:val="24"/>
              </w:rPr>
              <w:t>日成立于浙江省，主要业务是为</w:t>
            </w:r>
            <w:r w:rsidRPr="00755BF5">
              <w:rPr>
                <w:rFonts w:ascii="宋体" w:hAnsi="宋体" w:cs="宋体" w:hint="eastAsia"/>
                <w:color w:val="333333"/>
                <w:kern w:val="0"/>
                <w:sz w:val="24"/>
                <w:szCs w:val="24"/>
              </w:rPr>
              <w:t>兵工系统职工提供健康与保障服务</w:t>
            </w:r>
            <w:r>
              <w:rPr>
                <w:rFonts w:ascii="宋体" w:hAnsi="宋体" w:cs="宋体" w:hint="eastAsia"/>
                <w:color w:val="333333"/>
                <w:kern w:val="0"/>
                <w:sz w:val="24"/>
                <w:szCs w:val="24"/>
              </w:rPr>
              <w:t>、</w:t>
            </w:r>
            <w:r w:rsidRPr="00755BF5">
              <w:rPr>
                <w:rFonts w:ascii="宋体" w:hAnsi="宋体" w:cs="宋体" w:hint="eastAsia"/>
                <w:color w:val="333333"/>
                <w:kern w:val="0"/>
                <w:sz w:val="24"/>
                <w:szCs w:val="24"/>
              </w:rPr>
              <w:t>恢复期病人康复治疗与护理</w:t>
            </w:r>
            <w:r>
              <w:rPr>
                <w:rFonts w:ascii="宋体" w:hAnsi="宋体" w:cs="宋体" w:hint="eastAsia"/>
                <w:color w:val="333333"/>
                <w:kern w:val="0"/>
                <w:sz w:val="24"/>
                <w:szCs w:val="24"/>
              </w:rPr>
              <w:t>、</w:t>
            </w:r>
            <w:r w:rsidRPr="00755BF5">
              <w:rPr>
                <w:rFonts w:ascii="宋体" w:hAnsi="宋体" w:cs="宋体" w:hint="eastAsia"/>
                <w:color w:val="333333"/>
                <w:kern w:val="0"/>
                <w:sz w:val="24"/>
                <w:szCs w:val="24"/>
              </w:rPr>
              <w:t>健康疗养与休闲保健</w:t>
            </w:r>
            <w:r>
              <w:rPr>
                <w:rFonts w:ascii="宋体" w:hAnsi="宋体" w:cs="宋体" w:hint="eastAsia"/>
                <w:color w:val="333333"/>
                <w:kern w:val="0"/>
                <w:sz w:val="24"/>
                <w:szCs w:val="24"/>
              </w:rPr>
              <w:t>、</w:t>
            </w:r>
            <w:r w:rsidRPr="00755BF5">
              <w:rPr>
                <w:rFonts w:ascii="宋体" w:hAnsi="宋体" w:cs="宋体" w:hint="eastAsia"/>
                <w:color w:val="333333"/>
                <w:kern w:val="0"/>
                <w:sz w:val="24"/>
                <w:szCs w:val="24"/>
              </w:rPr>
              <w:t>会议服务</w:t>
            </w:r>
            <w:r>
              <w:rPr>
                <w:rFonts w:ascii="宋体" w:hAnsi="宋体" w:cs="宋体" w:hint="eastAsia"/>
                <w:color w:val="333333"/>
                <w:kern w:val="0"/>
                <w:sz w:val="24"/>
                <w:szCs w:val="24"/>
              </w:rPr>
              <w:t>、</w:t>
            </w:r>
            <w:r w:rsidRPr="00755BF5">
              <w:rPr>
                <w:rFonts w:ascii="宋体" w:hAnsi="宋体" w:cs="宋体" w:hint="eastAsia"/>
                <w:color w:val="333333"/>
                <w:kern w:val="0"/>
                <w:sz w:val="24"/>
                <w:szCs w:val="24"/>
              </w:rPr>
              <w:t>接待服务</w:t>
            </w:r>
            <w:r>
              <w:rPr>
                <w:rFonts w:ascii="宋体" w:hAnsi="宋体" w:cs="宋体" w:hint="eastAsia"/>
                <w:color w:val="333333"/>
                <w:kern w:val="0"/>
                <w:sz w:val="24"/>
                <w:szCs w:val="24"/>
              </w:rPr>
              <w:t>等。</w:t>
            </w:r>
          </w:p>
          <w:p w14:paraId="0EAB0E03" w14:textId="4C7CCBC3" w:rsidR="00755BF5" w:rsidRPr="00527C49" w:rsidRDefault="00755BF5" w:rsidP="006A0A52">
            <w:pPr>
              <w:spacing w:line="360" w:lineRule="auto"/>
              <w:rPr>
                <w:rFonts w:ascii="宋体" w:hAnsi="宋体" w:cs="宋体"/>
                <w:color w:val="333333"/>
                <w:kern w:val="0"/>
                <w:sz w:val="24"/>
                <w:szCs w:val="24"/>
              </w:rPr>
            </w:pPr>
            <w:r>
              <w:rPr>
                <w:rFonts w:ascii="宋体" w:hAnsi="宋体" w:cs="宋体" w:hint="eastAsia"/>
                <w:color w:val="333333"/>
                <w:kern w:val="0"/>
                <w:sz w:val="24"/>
                <w:szCs w:val="24"/>
              </w:rPr>
              <w:t>杭州疗养院的最终控制人为</w:t>
            </w:r>
            <w:r w:rsidRPr="00755BF5">
              <w:rPr>
                <w:rFonts w:ascii="宋体" w:hAnsi="宋体" w:cs="宋体"/>
                <w:color w:val="333333"/>
                <w:kern w:val="0"/>
                <w:sz w:val="24"/>
                <w:szCs w:val="24"/>
              </w:rPr>
              <w:t>中国兵器装备集团有限公司</w:t>
            </w:r>
            <w:r>
              <w:rPr>
                <w:rFonts w:ascii="宋体" w:hAnsi="宋体" w:cs="宋体" w:hint="eastAsia"/>
                <w:color w:val="333333"/>
                <w:kern w:val="0"/>
                <w:sz w:val="24"/>
                <w:szCs w:val="24"/>
              </w:rPr>
              <w:t>，主要业务为</w:t>
            </w:r>
            <w:r w:rsidRPr="00755BF5">
              <w:rPr>
                <w:rFonts w:ascii="宋体" w:hAnsi="宋体" w:cs="宋体" w:hint="eastAsia"/>
                <w:color w:val="333333"/>
                <w:kern w:val="0"/>
                <w:sz w:val="24"/>
                <w:szCs w:val="24"/>
              </w:rPr>
              <w:t>国有资产投资经营与管理</w:t>
            </w:r>
            <w:r>
              <w:rPr>
                <w:rFonts w:ascii="宋体" w:hAnsi="宋体" w:cs="宋体" w:hint="eastAsia"/>
                <w:color w:val="333333"/>
                <w:kern w:val="0"/>
                <w:sz w:val="24"/>
                <w:szCs w:val="24"/>
              </w:rPr>
              <w:t>，</w:t>
            </w:r>
            <w:r w:rsidRPr="00755BF5">
              <w:rPr>
                <w:rFonts w:ascii="宋体" w:hAnsi="宋体" w:cs="宋体" w:hint="eastAsia"/>
                <w:color w:val="333333"/>
                <w:kern w:val="0"/>
                <w:sz w:val="24"/>
                <w:szCs w:val="24"/>
              </w:rPr>
              <w:t>武器装备的研发、生产、保障、服务</w:t>
            </w:r>
            <w:r>
              <w:rPr>
                <w:rFonts w:ascii="宋体" w:hAnsi="宋体" w:cs="宋体" w:hint="eastAsia"/>
                <w:color w:val="333333"/>
                <w:kern w:val="0"/>
                <w:sz w:val="24"/>
                <w:szCs w:val="24"/>
              </w:rPr>
              <w:t>等。</w:t>
            </w:r>
            <w:r w:rsidRPr="00527C49">
              <w:rPr>
                <w:rFonts w:ascii="宋体" w:hAnsi="宋体" w:cs="宋体" w:hint="eastAsia"/>
                <w:color w:val="333333"/>
                <w:kern w:val="0"/>
                <w:sz w:val="24"/>
                <w:szCs w:val="24"/>
              </w:rPr>
              <w:t xml:space="preserve"> </w:t>
            </w:r>
          </w:p>
        </w:tc>
      </w:tr>
      <w:tr w:rsidR="00DC0637" w:rsidRPr="00527C49" w14:paraId="6173A31D" w14:textId="77777777">
        <w:trPr>
          <w:trHeight w:val="279"/>
        </w:trPr>
        <w:tc>
          <w:tcPr>
            <w:tcW w:w="1809" w:type="dxa"/>
            <w:vMerge w:val="restart"/>
            <w:shd w:val="clear" w:color="auto" w:fill="D9D9D9"/>
            <w:vAlign w:val="center"/>
          </w:tcPr>
          <w:p w14:paraId="25C64F18"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简易案件理由（可以单选，也可以多选）</w:t>
            </w:r>
          </w:p>
        </w:tc>
        <w:tc>
          <w:tcPr>
            <w:tcW w:w="6949" w:type="dxa"/>
            <w:gridSpan w:val="2"/>
          </w:tcPr>
          <w:p w14:paraId="43D51AD8" w14:textId="588D6661" w:rsidR="00DC0637" w:rsidRPr="00527C49" w:rsidRDefault="00755BF5"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w:t>
            </w:r>
            <w:r w:rsidR="00462D52" w:rsidRPr="00527C49">
              <w:rPr>
                <w:rFonts w:ascii="宋体" w:hAnsi="宋体" w:cs="宋体" w:hint="eastAsia"/>
                <w:color w:val="333333"/>
                <w:kern w:val="0"/>
                <w:sz w:val="24"/>
                <w:szCs w:val="24"/>
              </w:rPr>
              <w:t>1.在同一相关市场，所有参与集中的经营者所占市场份额之和小于15%。</w:t>
            </w:r>
          </w:p>
        </w:tc>
      </w:tr>
      <w:tr w:rsidR="00DC0637" w:rsidRPr="00527C49" w14:paraId="70FC33AD" w14:textId="77777777">
        <w:trPr>
          <w:trHeight w:val="330"/>
        </w:trPr>
        <w:tc>
          <w:tcPr>
            <w:tcW w:w="1809" w:type="dxa"/>
            <w:vMerge/>
            <w:shd w:val="clear" w:color="auto" w:fill="D9D9D9"/>
            <w:vAlign w:val="center"/>
          </w:tcPr>
          <w:p w14:paraId="2C4576CA"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7FEAE265" w14:textId="0B91AC39" w:rsidR="00DC0637" w:rsidRPr="00527C49" w:rsidRDefault="00755BF5"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w:t>
            </w:r>
            <w:r w:rsidR="00462D52" w:rsidRPr="00527C49">
              <w:rPr>
                <w:rFonts w:ascii="宋体" w:hAnsi="宋体" w:cs="宋体" w:hint="eastAsia"/>
                <w:color w:val="333333"/>
                <w:kern w:val="0"/>
                <w:sz w:val="24"/>
                <w:szCs w:val="24"/>
              </w:rPr>
              <w:t>2.存在上下游关系的参与集中的经营者，在上下游市场所占的</w:t>
            </w:r>
            <w:r w:rsidR="00462D52" w:rsidRPr="00527C49">
              <w:rPr>
                <w:rFonts w:ascii="宋体" w:hAnsi="宋体" w:cs="宋体" w:hint="eastAsia"/>
                <w:color w:val="333333"/>
                <w:kern w:val="0"/>
                <w:sz w:val="24"/>
                <w:szCs w:val="24"/>
              </w:rPr>
              <w:lastRenderedPageBreak/>
              <w:t>市场份额均小于25%。</w:t>
            </w:r>
          </w:p>
        </w:tc>
      </w:tr>
      <w:tr w:rsidR="00DC0637" w:rsidRPr="00527C49" w14:paraId="71C4AB00" w14:textId="77777777">
        <w:trPr>
          <w:trHeight w:val="285"/>
        </w:trPr>
        <w:tc>
          <w:tcPr>
            <w:tcW w:w="1809" w:type="dxa"/>
            <w:vMerge/>
            <w:shd w:val="clear" w:color="auto" w:fill="D9D9D9"/>
            <w:vAlign w:val="center"/>
          </w:tcPr>
          <w:p w14:paraId="16575EC6"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30DB8D33" w14:textId="7BC4CA7F" w:rsidR="00DC0637" w:rsidRPr="00527C49" w:rsidRDefault="00755BF5"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sym w:font="Wingdings" w:char="00FE"/>
            </w:r>
            <w:r w:rsidR="00462D52" w:rsidRPr="00527C49">
              <w:rPr>
                <w:rFonts w:ascii="宋体" w:hAnsi="宋体" w:cs="宋体" w:hint="eastAsia"/>
                <w:color w:val="333333"/>
                <w:kern w:val="0"/>
                <w:sz w:val="24"/>
                <w:szCs w:val="24"/>
              </w:rPr>
              <w:t>3.不在同一相关市场、也不存在上下游关系的参与集中的经营者，在与交易有关的每个市场所占的份额均小于25%。</w:t>
            </w:r>
          </w:p>
        </w:tc>
      </w:tr>
      <w:tr w:rsidR="00DC0637" w:rsidRPr="00527C49" w14:paraId="28936EDA" w14:textId="77777777">
        <w:trPr>
          <w:trHeight w:val="870"/>
        </w:trPr>
        <w:tc>
          <w:tcPr>
            <w:tcW w:w="1809" w:type="dxa"/>
            <w:vMerge/>
            <w:shd w:val="clear" w:color="auto" w:fill="D9D9D9"/>
            <w:vAlign w:val="center"/>
          </w:tcPr>
          <w:p w14:paraId="20E11829"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7668ABCB" w14:textId="77777777" w:rsidR="00DC0637" w:rsidRPr="00527C49" w:rsidRDefault="00462D52"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□4.参与集中的经营者在中国境外设立合营企业，合营企业不在中国境内从事经济活动。</w:t>
            </w:r>
          </w:p>
        </w:tc>
      </w:tr>
      <w:tr w:rsidR="00DC0637" w:rsidRPr="00527C49" w14:paraId="7B1C4E4E" w14:textId="77777777">
        <w:trPr>
          <w:trHeight w:val="264"/>
        </w:trPr>
        <w:tc>
          <w:tcPr>
            <w:tcW w:w="1809" w:type="dxa"/>
            <w:vMerge/>
            <w:shd w:val="clear" w:color="auto" w:fill="D9D9D9"/>
            <w:vAlign w:val="center"/>
          </w:tcPr>
          <w:p w14:paraId="3B106E72"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0069EFAC" w14:textId="77777777" w:rsidR="00DC0637" w:rsidRPr="00527C49" w:rsidRDefault="00462D52"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□5.参与集中的经营者收购境外企业股权或资产的，该境外企业不在中国境内从事经济活动。</w:t>
            </w:r>
          </w:p>
        </w:tc>
      </w:tr>
      <w:tr w:rsidR="00DC0637" w:rsidRPr="00527C49" w14:paraId="0E22773A" w14:textId="77777777">
        <w:trPr>
          <w:trHeight w:val="345"/>
        </w:trPr>
        <w:tc>
          <w:tcPr>
            <w:tcW w:w="1809" w:type="dxa"/>
            <w:vMerge/>
            <w:shd w:val="clear" w:color="auto" w:fill="D9D9D9"/>
            <w:vAlign w:val="center"/>
          </w:tcPr>
          <w:p w14:paraId="07F508B7"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5E5C1870" w14:textId="77777777" w:rsidR="00DC0637" w:rsidRPr="00527C49" w:rsidRDefault="00C41237"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w:t>
            </w:r>
            <w:r w:rsidR="00462D52" w:rsidRPr="00527C49">
              <w:rPr>
                <w:rFonts w:ascii="宋体" w:hAnsi="宋体" w:cs="宋体" w:hint="eastAsia"/>
                <w:color w:val="333333"/>
                <w:kern w:val="0"/>
                <w:sz w:val="24"/>
                <w:szCs w:val="24"/>
              </w:rPr>
              <w:t>6.由两个以上的经营者共同控制的合营企业，通过集中被其中一个或一个以上经营者控制。</w:t>
            </w:r>
          </w:p>
        </w:tc>
      </w:tr>
      <w:tr w:rsidR="00DC0637" w:rsidRPr="00527C49" w14:paraId="01C33DE9" w14:textId="77777777">
        <w:tc>
          <w:tcPr>
            <w:tcW w:w="1809" w:type="dxa"/>
            <w:shd w:val="clear" w:color="auto" w:fill="D9D9D9"/>
            <w:vAlign w:val="center"/>
          </w:tcPr>
          <w:p w14:paraId="5B44AD2F"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备注</w:t>
            </w:r>
          </w:p>
        </w:tc>
        <w:tc>
          <w:tcPr>
            <w:tcW w:w="6949" w:type="dxa"/>
            <w:gridSpan w:val="2"/>
          </w:tcPr>
          <w:p w14:paraId="02C96D41" w14:textId="2D318789" w:rsidR="00A02BD5" w:rsidRDefault="00755BF5" w:rsidP="006A0A52">
            <w:pPr>
              <w:spacing w:line="360" w:lineRule="auto"/>
              <w:rPr>
                <w:rFonts w:ascii="宋体" w:hAnsi="宋体" w:cs="宋体"/>
                <w:b/>
                <w:bCs/>
                <w:color w:val="333333"/>
                <w:kern w:val="0"/>
                <w:sz w:val="24"/>
                <w:szCs w:val="24"/>
              </w:rPr>
            </w:pPr>
            <w:r w:rsidRPr="00755BF5">
              <w:rPr>
                <w:rFonts w:ascii="宋体" w:hAnsi="宋体" w:cs="宋体" w:hint="eastAsia"/>
                <w:b/>
                <w:bCs/>
                <w:color w:val="333333"/>
                <w:kern w:val="0"/>
                <w:sz w:val="24"/>
                <w:szCs w:val="24"/>
              </w:rPr>
              <w:t>混合集中</w:t>
            </w:r>
            <w:r>
              <w:rPr>
                <w:rFonts w:ascii="宋体" w:hAnsi="宋体" w:cs="宋体" w:hint="eastAsia"/>
                <w:b/>
                <w:bCs/>
                <w:color w:val="333333"/>
                <w:kern w:val="0"/>
                <w:sz w:val="24"/>
                <w:szCs w:val="24"/>
              </w:rPr>
              <w:t>：</w:t>
            </w:r>
          </w:p>
          <w:p w14:paraId="602963B1" w14:textId="6578C151" w:rsidR="00755BF5" w:rsidRPr="00C11A39" w:rsidRDefault="00C11A39" w:rsidP="006A0A52">
            <w:pPr>
              <w:spacing w:line="360" w:lineRule="auto"/>
              <w:rPr>
                <w:rFonts w:ascii="宋体" w:hAnsi="宋体" w:cs="宋体"/>
                <w:color w:val="333333"/>
                <w:kern w:val="0"/>
                <w:sz w:val="24"/>
                <w:szCs w:val="24"/>
              </w:rPr>
            </w:pPr>
            <w:r w:rsidRPr="00C11A39">
              <w:rPr>
                <w:rFonts w:ascii="宋体" w:hAnsi="宋体" w:cs="宋体" w:hint="eastAsia"/>
                <w:color w:val="333333"/>
                <w:kern w:val="0"/>
                <w:sz w:val="24"/>
                <w:szCs w:val="24"/>
              </w:rPr>
              <w:t>2</w:t>
            </w:r>
            <w:r w:rsidRPr="00C11A39">
              <w:rPr>
                <w:rFonts w:ascii="宋体" w:hAnsi="宋体" w:cs="宋体"/>
                <w:color w:val="333333"/>
                <w:kern w:val="0"/>
                <w:sz w:val="24"/>
                <w:szCs w:val="24"/>
              </w:rPr>
              <w:t>021</w:t>
            </w:r>
            <w:r w:rsidRPr="00C11A39">
              <w:rPr>
                <w:rFonts w:ascii="宋体" w:hAnsi="宋体" w:cs="宋体" w:hint="eastAsia"/>
                <w:color w:val="333333"/>
                <w:kern w:val="0"/>
                <w:sz w:val="24"/>
                <w:szCs w:val="24"/>
              </w:rPr>
              <w:t>年杭州市机构养老服务市场</w:t>
            </w:r>
          </w:p>
          <w:p w14:paraId="59E6C28B" w14:textId="74BCC3BA" w:rsidR="00F06290" w:rsidRDefault="00C11A39" w:rsidP="00755BF5">
            <w:pPr>
              <w:spacing w:line="360" w:lineRule="auto"/>
              <w:rPr>
                <w:rFonts w:ascii="宋体" w:hAnsi="宋体" w:cs="宋体"/>
                <w:color w:val="333333"/>
                <w:kern w:val="0"/>
                <w:sz w:val="24"/>
                <w:szCs w:val="24"/>
              </w:rPr>
            </w:pPr>
            <w:r w:rsidRPr="00C11A39">
              <w:rPr>
                <w:rFonts w:ascii="宋体" w:hAnsi="宋体" w:cs="宋体" w:hint="eastAsia"/>
                <w:color w:val="333333"/>
                <w:kern w:val="0"/>
                <w:sz w:val="24"/>
                <w:szCs w:val="24"/>
              </w:rPr>
              <w:t>国投健康</w:t>
            </w:r>
            <w:r w:rsidR="00C04CD3">
              <w:rPr>
                <w:rFonts w:ascii="宋体" w:hAnsi="宋体" w:cs="宋体"/>
                <w:color w:val="333333"/>
                <w:kern w:val="0"/>
                <w:sz w:val="24"/>
                <w:szCs w:val="24"/>
              </w:rPr>
              <w:t>0</w:t>
            </w:r>
            <w:r w:rsidRPr="00C11A39">
              <w:rPr>
                <w:rFonts w:ascii="宋体" w:hAnsi="宋体" w:cs="宋体"/>
                <w:color w:val="333333"/>
                <w:kern w:val="0"/>
                <w:sz w:val="24"/>
                <w:szCs w:val="24"/>
              </w:rPr>
              <w:t>%</w:t>
            </w:r>
          </w:p>
          <w:p w14:paraId="4B54A3B8" w14:textId="22A8493F" w:rsidR="00DC6E81" w:rsidRDefault="001814BF" w:rsidP="00755BF5">
            <w:pPr>
              <w:spacing w:line="360" w:lineRule="auto"/>
              <w:rPr>
                <w:rFonts w:ascii="宋体" w:hAnsi="宋体" w:cs="宋体"/>
                <w:color w:val="333333"/>
                <w:kern w:val="0"/>
                <w:sz w:val="24"/>
                <w:szCs w:val="24"/>
              </w:rPr>
            </w:pPr>
            <w:r>
              <w:rPr>
                <w:rFonts w:ascii="宋体" w:hAnsi="宋体" w:cs="宋体" w:hint="eastAsia"/>
                <w:color w:val="333333"/>
                <w:kern w:val="0"/>
                <w:sz w:val="24"/>
                <w:szCs w:val="24"/>
              </w:rPr>
              <w:t>杭</w:t>
            </w:r>
            <w:r w:rsidR="00C11A39" w:rsidRPr="00C11A39">
              <w:rPr>
                <w:rFonts w:ascii="宋体" w:hAnsi="宋体" w:cs="宋体" w:hint="eastAsia"/>
                <w:color w:val="333333"/>
                <w:kern w:val="0"/>
                <w:sz w:val="24"/>
                <w:szCs w:val="24"/>
              </w:rPr>
              <w:t>州疗养院</w:t>
            </w:r>
            <w:r w:rsidR="0005554D">
              <w:rPr>
                <w:rFonts w:ascii="宋体" w:hAnsi="宋体" w:cs="宋体"/>
                <w:color w:val="333333"/>
                <w:kern w:val="0"/>
                <w:sz w:val="24"/>
                <w:szCs w:val="24"/>
              </w:rPr>
              <w:t>0</w:t>
            </w:r>
            <w:r w:rsidR="00137221" w:rsidRPr="00C11A39">
              <w:rPr>
                <w:rFonts w:ascii="宋体" w:hAnsi="宋体" w:cs="宋体"/>
                <w:color w:val="333333"/>
                <w:kern w:val="0"/>
                <w:sz w:val="24"/>
                <w:szCs w:val="24"/>
              </w:rPr>
              <w:t>%</w:t>
            </w:r>
          </w:p>
          <w:p w14:paraId="7D4CAE2F" w14:textId="3D695C7E" w:rsidR="00F06290" w:rsidRPr="001814BF" w:rsidRDefault="00F06290" w:rsidP="00755BF5">
            <w:pPr>
              <w:spacing w:line="360" w:lineRule="auto"/>
              <w:rPr>
                <w:rFonts w:ascii="宋体" w:hAnsi="宋体" w:cs="宋体"/>
                <w:color w:val="333333"/>
                <w:kern w:val="0"/>
                <w:sz w:val="24"/>
                <w:szCs w:val="24"/>
              </w:rPr>
            </w:pPr>
            <w:r>
              <w:rPr>
                <w:rFonts w:ascii="宋体" w:hAnsi="宋体" w:cs="宋体" w:hint="eastAsia"/>
                <w:color w:val="333333"/>
                <w:kern w:val="0"/>
                <w:sz w:val="24"/>
                <w:szCs w:val="24"/>
              </w:rPr>
              <w:t>合营企业</w:t>
            </w:r>
            <w:r w:rsidR="0005554D">
              <w:rPr>
                <w:rFonts w:ascii="宋体" w:hAnsi="宋体" w:cs="宋体" w:hint="eastAsia"/>
                <w:color w:val="333333"/>
                <w:kern w:val="0"/>
                <w:sz w:val="24"/>
                <w:szCs w:val="24"/>
              </w:rPr>
              <w:t>预估</w:t>
            </w:r>
            <w:r w:rsidR="00137221">
              <w:rPr>
                <w:rFonts w:ascii="宋体" w:hAnsi="宋体" w:cs="宋体"/>
                <w:color w:val="333333"/>
                <w:kern w:val="0"/>
                <w:sz w:val="24"/>
                <w:szCs w:val="24"/>
              </w:rPr>
              <w:t>[0-5]</w:t>
            </w:r>
            <w:r w:rsidR="00137221" w:rsidRPr="00C11A39">
              <w:rPr>
                <w:rFonts w:ascii="宋体" w:hAnsi="宋体" w:cs="宋体"/>
                <w:color w:val="333333"/>
                <w:kern w:val="0"/>
                <w:sz w:val="24"/>
                <w:szCs w:val="24"/>
              </w:rPr>
              <w:t>%</w:t>
            </w:r>
          </w:p>
        </w:tc>
      </w:tr>
    </w:tbl>
    <w:p w14:paraId="3A2AB86F" w14:textId="77777777" w:rsidR="00DC0637" w:rsidRDefault="00DC0637"/>
    <w:p w14:paraId="13F25B49" w14:textId="77777777" w:rsidR="00DC0637" w:rsidRDefault="00DC0637"/>
    <w:sectPr w:rsidR="00DC06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0CD1" w14:textId="77777777" w:rsidR="00DA27D3" w:rsidRDefault="00DA27D3" w:rsidP="00641A21">
      <w:r>
        <w:separator/>
      </w:r>
    </w:p>
  </w:endnote>
  <w:endnote w:type="continuationSeparator" w:id="0">
    <w:p w14:paraId="08969017" w14:textId="77777777" w:rsidR="00DA27D3" w:rsidRDefault="00DA27D3" w:rsidP="0064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E1BF" w14:textId="77777777" w:rsidR="00DA27D3" w:rsidRDefault="00DA27D3" w:rsidP="00641A21">
      <w:r>
        <w:separator/>
      </w:r>
    </w:p>
  </w:footnote>
  <w:footnote w:type="continuationSeparator" w:id="0">
    <w:p w14:paraId="021C110F" w14:textId="77777777" w:rsidR="00DA27D3" w:rsidRDefault="00DA27D3" w:rsidP="00641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F"/>
    <w:rsid w:val="000330BD"/>
    <w:rsid w:val="00033C56"/>
    <w:rsid w:val="00037065"/>
    <w:rsid w:val="0005554D"/>
    <w:rsid w:val="00060BE3"/>
    <w:rsid w:val="00061596"/>
    <w:rsid w:val="00070738"/>
    <w:rsid w:val="000C02B3"/>
    <w:rsid w:val="000D5D73"/>
    <w:rsid w:val="000D7EBA"/>
    <w:rsid w:val="000F13B3"/>
    <w:rsid w:val="00106877"/>
    <w:rsid w:val="001164CD"/>
    <w:rsid w:val="00137221"/>
    <w:rsid w:val="00155717"/>
    <w:rsid w:val="0015730E"/>
    <w:rsid w:val="001615BF"/>
    <w:rsid w:val="00166498"/>
    <w:rsid w:val="00171D4A"/>
    <w:rsid w:val="00175693"/>
    <w:rsid w:val="001814BF"/>
    <w:rsid w:val="001837A3"/>
    <w:rsid w:val="00187366"/>
    <w:rsid w:val="00195954"/>
    <w:rsid w:val="00196337"/>
    <w:rsid w:val="001F1DFF"/>
    <w:rsid w:val="001F433E"/>
    <w:rsid w:val="002128C8"/>
    <w:rsid w:val="00213D84"/>
    <w:rsid w:val="002177AD"/>
    <w:rsid w:val="00223706"/>
    <w:rsid w:val="00233C7B"/>
    <w:rsid w:val="00286810"/>
    <w:rsid w:val="002E2783"/>
    <w:rsid w:val="002F4968"/>
    <w:rsid w:val="00302B14"/>
    <w:rsid w:val="0037080C"/>
    <w:rsid w:val="00376293"/>
    <w:rsid w:val="003A454A"/>
    <w:rsid w:val="003B6BA8"/>
    <w:rsid w:val="003C0AEB"/>
    <w:rsid w:val="003C44B7"/>
    <w:rsid w:val="003C7CDE"/>
    <w:rsid w:val="003D63CD"/>
    <w:rsid w:val="0041246E"/>
    <w:rsid w:val="00413892"/>
    <w:rsid w:val="00415598"/>
    <w:rsid w:val="0041797F"/>
    <w:rsid w:val="004363C4"/>
    <w:rsid w:val="00442E72"/>
    <w:rsid w:val="0044563A"/>
    <w:rsid w:val="0045414D"/>
    <w:rsid w:val="00462D52"/>
    <w:rsid w:val="0046323B"/>
    <w:rsid w:val="00463315"/>
    <w:rsid w:val="00474915"/>
    <w:rsid w:val="0049394E"/>
    <w:rsid w:val="00496AFA"/>
    <w:rsid w:val="004A4CF5"/>
    <w:rsid w:val="004B7B67"/>
    <w:rsid w:val="004C2CEF"/>
    <w:rsid w:val="004D1601"/>
    <w:rsid w:val="004D2C9E"/>
    <w:rsid w:val="004D4B4C"/>
    <w:rsid w:val="004D6B39"/>
    <w:rsid w:val="004E1DBF"/>
    <w:rsid w:val="004E2D1F"/>
    <w:rsid w:val="004F7688"/>
    <w:rsid w:val="00527C49"/>
    <w:rsid w:val="005314ED"/>
    <w:rsid w:val="0053405E"/>
    <w:rsid w:val="00542DEA"/>
    <w:rsid w:val="005602EB"/>
    <w:rsid w:val="00561F91"/>
    <w:rsid w:val="00567488"/>
    <w:rsid w:val="00571711"/>
    <w:rsid w:val="00582B6A"/>
    <w:rsid w:val="00597AC8"/>
    <w:rsid w:val="005B5FEE"/>
    <w:rsid w:val="005C4BA5"/>
    <w:rsid w:val="005D1AA0"/>
    <w:rsid w:val="005D2995"/>
    <w:rsid w:val="005D509C"/>
    <w:rsid w:val="005E6086"/>
    <w:rsid w:val="00614262"/>
    <w:rsid w:val="00641A21"/>
    <w:rsid w:val="006467D8"/>
    <w:rsid w:val="00660BD4"/>
    <w:rsid w:val="00666188"/>
    <w:rsid w:val="00680BFB"/>
    <w:rsid w:val="00687630"/>
    <w:rsid w:val="00692D95"/>
    <w:rsid w:val="006A0A52"/>
    <w:rsid w:val="006A2F8C"/>
    <w:rsid w:val="006A33A1"/>
    <w:rsid w:val="006A531B"/>
    <w:rsid w:val="006B719A"/>
    <w:rsid w:val="006E0717"/>
    <w:rsid w:val="006E37F4"/>
    <w:rsid w:val="006F5F08"/>
    <w:rsid w:val="006F7693"/>
    <w:rsid w:val="007034E0"/>
    <w:rsid w:val="00710140"/>
    <w:rsid w:val="00711523"/>
    <w:rsid w:val="00714872"/>
    <w:rsid w:val="0073660F"/>
    <w:rsid w:val="007413C2"/>
    <w:rsid w:val="0074650C"/>
    <w:rsid w:val="00755BF5"/>
    <w:rsid w:val="0076339D"/>
    <w:rsid w:val="0077255E"/>
    <w:rsid w:val="00776DC6"/>
    <w:rsid w:val="0079469C"/>
    <w:rsid w:val="007B5E6E"/>
    <w:rsid w:val="007C679D"/>
    <w:rsid w:val="007D32BB"/>
    <w:rsid w:val="007E60D4"/>
    <w:rsid w:val="007F2275"/>
    <w:rsid w:val="008209AC"/>
    <w:rsid w:val="0082613D"/>
    <w:rsid w:val="008301A9"/>
    <w:rsid w:val="00834359"/>
    <w:rsid w:val="008560F1"/>
    <w:rsid w:val="00862C72"/>
    <w:rsid w:val="00862E45"/>
    <w:rsid w:val="0089518D"/>
    <w:rsid w:val="008A61C2"/>
    <w:rsid w:val="008B1B71"/>
    <w:rsid w:val="008C0B60"/>
    <w:rsid w:val="008D0932"/>
    <w:rsid w:val="008E19AF"/>
    <w:rsid w:val="008E4CA0"/>
    <w:rsid w:val="008E6426"/>
    <w:rsid w:val="008E7064"/>
    <w:rsid w:val="008E7442"/>
    <w:rsid w:val="008F31FC"/>
    <w:rsid w:val="008F442B"/>
    <w:rsid w:val="008F7D84"/>
    <w:rsid w:val="00903534"/>
    <w:rsid w:val="00905B79"/>
    <w:rsid w:val="00915F0F"/>
    <w:rsid w:val="00917D46"/>
    <w:rsid w:val="009225D8"/>
    <w:rsid w:val="00943078"/>
    <w:rsid w:val="00943939"/>
    <w:rsid w:val="009532DF"/>
    <w:rsid w:val="00960896"/>
    <w:rsid w:val="009766A5"/>
    <w:rsid w:val="00980817"/>
    <w:rsid w:val="00981FC0"/>
    <w:rsid w:val="00997019"/>
    <w:rsid w:val="009A4BBB"/>
    <w:rsid w:val="009A5029"/>
    <w:rsid w:val="009B2483"/>
    <w:rsid w:val="009B28AC"/>
    <w:rsid w:val="009C0184"/>
    <w:rsid w:val="009C2F36"/>
    <w:rsid w:val="009C4217"/>
    <w:rsid w:val="009D38D5"/>
    <w:rsid w:val="009F0052"/>
    <w:rsid w:val="00A02BD5"/>
    <w:rsid w:val="00A130F5"/>
    <w:rsid w:val="00A3153B"/>
    <w:rsid w:val="00A42773"/>
    <w:rsid w:val="00A53A60"/>
    <w:rsid w:val="00A53F26"/>
    <w:rsid w:val="00A5596A"/>
    <w:rsid w:val="00A82B13"/>
    <w:rsid w:val="00A902E6"/>
    <w:rsid w:val="00A94705"/>
    <w:rsid w:val="00AA0CC5"/>
    <w:rsid w:val="00AB01C2"/>
    <w:rsid w:val="00AC14B8"/>
    <w:rsid w:val="00AC1B81"/>
    <w:rsid w:val="00AE1AB0"/>
    <w:rsid w:val="00B00B8C"/>
    <w:rsid w:val="00B16AFE"/>
    <w:rsid w:val="00B32C95"/>
    <w:rsid w:val="00B33767"/>
    <w:rsid w:val="00B65DD5"/>
    <w:rsid w:val="00B74DE7"/>
    <w:rsid w:val="00B77D00"/>
    <w:rsid w:val="00B8003B"/>
    <w:rsid w:val="00B91611"/>
    <w:rsid w:val="00B976BD"/>
    <w:rsid w:val="00BB165A"/>
    <w:rsid w:val="00BB28F5"/>
    <w:rsid w:val="00BB74E7"/>
    <w:rsid w:val="00BC75C8"/>
    <w:rsid w:val="00BD10B6"/>
    <w:rsid w:val="00BF0F55"/>
    <w:rsid w:val="00BF42F0"/>
    <w:rsid w:val="00C04CD3"/>
    <w:rsid w:val="00C07076"/>
    <w:rsid w:val="00C11A39"/>
    <w:rsid w:val="00C2082B"/>
    <w:rsid w:val="00C232DA"/>
    <w:rsid w:val="00C37D84"/>
    <w:rsid w:val="00C41237"/>
    <w:rsid w:val="00C462C7"/>
    <w:rsid w:val="00C90E3C"/>
    <w:rsid w:val="00CB00DF"/>
    <w:rsid w:val="00CB28D6"/>
    <w:rsid w:val="00CB7FE6"/>
    <w:rsid w:val="00CC6159"/>
    <w:rsid w:val="00CE1712"/>
    <w:rsid w:val="00CF508C"/>
    <w:rsid w:val="00CF5FBD"/>
    <w:rsid w:val="00D2672F"/>
    <w:rsid w:val="00D36709"/>
    <w:rsid w:val="00D378E3"/>
    <w:rsid w:val="00D46798"/>
    <w:rsid w:val="00D51657"/>
    <w:rsid w:val="00D5665A"/>
    <w:rsid w:val="00D6248E"/>
    <w:rsid w:val="00D70984"/>
    <w:rsid w:val="00D73C72"/>
    <w:rsid w:val="00D74486"/>
    <w:rsid w:val="00D97F28"/>
    <w:rsid w:val="00DA1210"/>
    <w:rsid w:val="00DA27D3"/>
    <w:rsid w:val="00DB6326"/>
    <w:rsid w:val="00DC0637"/>
    <w:rsid w:val="00DC6E81"/>
    <w:rsid w:val="00DD3777"/>
    <w:rsid w:val="00DE5F1C"/>
    <w:rsid w:val="00E03AE9"/>
    <w:rsid w:val="00E0592B"/>
    <w:rsid w:val="00E15CF5"/>
    <w:rsid w:val="00E31738"/>
    <w:rsid w:val="00E365CF"/>
    <w:rsid w:val="00E4556B"/>
    <w:rsid w:val="00E64C73"/>
    <w:rsid w:val="00E65B17"/>
    <w:rsid w:val="00E771C7"/>
    <w:rsid w:val="00E83BA9"/>
    <w:rsid w:val="00E86786"/>
    <w:rsid w:val="00E87903"/>
    <w:rsid w:val="00EA1290"/>
    <w:rsid w:val="00EB6258"/>
    <w:rsid w:val="00EB72CD"/>
    <w:rsid w:val="00ED2A9D"/>
    <w:rsid w:val="00ED2F80"/>
    <w:rsid w:val="00EF332C"/>
    <w:rsid w:val="00F0218C"/>
    <w:rsid w:val="00F06290"/>
    <w:rsid w:val="00F1624E"/>
    <w:rsid w:val="00F16824"/>
    <w:rsid w:val="00F32699"/>
    <w:rsid w:val="00F32F8A"/>
    <w:rsid w:val="00F400AC"/>
    <w:rsid w:val="00F4445D"/>
    <w:rsid w:val="00F76C4D"/>
    <w:rsid w:val="00F810AA"/>
    <w:rsid w:val="00F87319"/>
    <w:rsid w:val="00FB2B55"/>
    <w:rsid w:val="00FB3826"/>
    <w:rsid w:val="00FB43EC"/>
    <w:rsid w:val="00FB6B40"/>
    <w:rsid w:val="00FB6DB5"/>
    <w:rsid w:val="00FD5ED4"/>
    <w:rsid w:val="00FE4341"/>
    <w:rsid w:val="01F120BE"/>
    <w:rsid w:val="026C0BDA"/>
    <w:rsid w:val="026C6DA8"/>
    <w:rsid w:val="08A71BD0"/>
    <w:rsid w:val="091C17B4"/>
    <w:rsid w:val="096763B5"/>
    <w:rsid w:val="0A341542"/>
    <w:rsid w:val="0A8F6E67"/>
    <w:rsid w:val="105A50BA"/>
    <w:rsid w:val="108B63FF"/>
    <w:rsid w:val="108E1EFD"/>
    <w:rsid w:val="15D707D9"/>
    <w:rsid w:val="16C95B5D"/>
    <w:rsid w:val="16E97DB5"/>
    <w:rsid w:val="187E0264"/>
    <w:rsid w:val="18B83784"/>
    <w:rsid w:val="228455B5"/>
    <w:rsid w:val="25305018"/>
    <w:rsid w:val="253C5966"/>
    <w:rsid w:val="2C496284"/>
    <w:rsid w:val="317A0744"/>
    <w:rsid w:val="330F75E8"/>
    <w:rsid w:val="34157B3B"/>
    <w:rsid w:val="361E4FFB"/>
    <w:rsid w:val="37F944C1"/>
    <w:rsid w:val="3ADF2938"/>
    <w:rsid w:val="3B5738BF"/>
    <w:rsid w:val="3D9C2B9F"/>
    <w:rsid w:val="3FCE6910"/>
    <w:rsid w:val="40BA3220"/>
    <w:rsid w:val="424F64BA"/>
    <w:rsid w:val="43D14626"/>
    <w:rsid w:val="457147B5"/>
    <w:rsid w:val="45F80267"/>
    <w:rsid w:val="47FE7F6E"/>
    <w:rsid w:val="48775124"/>
    <w:rsid w:val="4AA2126F"/>
    <w:rsid w:val="4B754779"/>
    <w:rsid w:val="50372D61"/>
    <w:rsid w:val="528D36EC"/>
    <w:rsid w:val="53C605D9"/>
    <w:rsid w:val="54A91FC6"/>
    <w:rsid w:val="55013EDA"/>
    <w:rsid w:val="551A47A5"/>
    <w:rsid w:val="5C622FCD"/>
    <w:rsid w:val="5C9644AF"/>
    <w:rsid w:val="63E6232C"/>
    <w:rsid w:val="652A31BE"/>
    <w:rsid w:val="670701B4"/>
    <w:rsid w:val="67EC137D"/>
    <w:rsid w:val="68E70428"/>
    <w:rsid w:val="691E6786"/>
    <w:rsid w:val="69972282"/>
    <w:rsid w:val="6ADE3CA6"/>
    <w:rsid w:val="6BB935DB"/>
    <w:rsid w:val="6DD15F6A"/>
    <w:rsid w:val="6DD86F72"/>
    <w:rsid w:val="6F971D84"/>
    <w:rsid w:val="6FD23775"/>
    <w:rsid w:val="71990B88"/>
    <w:rsid w:val="73765842"/>
    <w:rsid w:val="74A0204C"/>
    <w:rsid w:val="75436420"/>
    <w:rsid w:val="759C3151"/>
    <w:rsid w:val="75C84B52"/>
    <w:rsid w:val="76215A01"/>
    <w:rsid w:val="764467BF"/>
    <w:rsid w:val="769632F3"/>
    <w:rsid w:val="769F5CF6"/>
    <w:rsid w:val="7FEB7543"/>
    <w:rsid w:val="7FF50C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7D30C"/>
  <w15:docId w15:val="{D493896D-984A-47EA-BB48-15E2E872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paragraph" w:styleId="a7">
    <w:name w:val="Balloon Text"/>
    <w:basedOn w:val="a"/>
    <w:link w:val="a8"/>
    <w:uiPriority w:val="99"/>
    <w:semiHidden/>
    <w:unhideWhenUsed/>
    <w:rsid w:val="00166498"/>
    <w:rPr>
      <w:sz w:val="18"/>
      <w:szCs w:val="18"/>
    </w:rPr>
  </w:style>
  <w:style w:type="character" w:customStyle="1" w:styleId="a8">
    <w:name w:val="批注框文本 字符"/>
    <w:basedOn w:val="a0"/>
    <w:link w:val="a7"/>
    <w:uiPriority w:val="99"/>
    <w:semiHidden/>
    <w:rsid w:val="00166498"/>
    <w:rPr>
      <w:rFonts w:ascii="Calibri" w:eastAsia="宋体" w:hAnsi="Calibri" w:cs="Times New Roman"/>
      <w:kern w:val="2"/>
      <w:sz w:val="18"/>
      <w:szCs w:val="18"/>
    </w:rPr>
  </w:style>
  <w:style w:type="character" w:styleId="a9">
    <w:name w:val="annotation reference"/>
    <w:basedOn w:val="a0"/>
    <w:uiPriority w:val="99"/>
    <w:semiHidden/>
    <w:unhideWhenUsed/>
    <w:rsid w:val="00943939"/>
    <w:rPr>
      <w:sz w:val="21"/>
      <w:szCs w:val="21"/>
    </w:rPr>
  </w:style>
  <w:style w:type="paragraph" w:styleId="aa">
    <w:name w:val="annotation text"/>
    <w:basedOn w:val="a"/>
    <w:link w:val="ab"/>
    <w:uiPriority w:val="99"/>
    <w:semiHidden/>
    <w:unhideWhenUsed/>
    <w:rsid w:val="00943939"/>
    <w:pPr>
      <w:jc w:val="left"/>
    </w:pPr>
  </w:style>
  <w:style w:type="character" w:customStyle="1" w:styleId="ab">
    <w:name w:val="批注文字 字符"/>
    <w:basedOn w:val="a0"/>
    <w:link w:val="aa"/>
    <w:uiPriority w:val="99"/>
    <w:semiHidden/>
    <w:rsid w:val="00943939"/>
    <w:rPr>
      <w:rFonts w:ascii="Calibri" w:eastAsia="宋体" w:hAnsi="Calibri" w:cs="Times New Roman"/>
      <w:kern w:val="2"/>
      <w:sz w:val="21"/>
      <w:szCs w:val="22"/>
    </w:rPr>
  </w:style>
  <w:style w:type="paragraph" w:styleId="ac">
    <w:name w:val="annotation subject"/>
    <w:basedOn w:val="aa"/>
    <w:next w:val="aa"/>
    <w:link w:val="ad"/>
    <w:uiPriority w:val="99"/>
    <w:semiHidden/>
    <w:unhideWhenUsed/>
    <w:rsid w:val="00943939"/>
    <w:rPr>
      <w:b/>
      <w:bCs/>
    </w:rPr>
  </w:style>
  <w:style w:type="character" w:customStyle="1" w:styleId="ad">
    <w:name w:val="批注主题 字符"/>
    <w:basedOn w:val="ab"/>
    <w:link w:val="ac"/>
    <w:uiPriority w:val="99"/>
    <w:semiHidden/>
    <w:rsid w:val="00943939"/>
    <w:rPr>
      <w:rFonts w:ascii="Calibri" w:eastAsia="宋体" w:hAnsi="Calibri" w:cs="Times New Roman"/>
      <w:b/>
      <w:bCs/>
      <w:kern w:val="2"/>
      <w:sz w:val="21"/>
      <w:szCs w:val="22"/>
    </w:rPr>
  </w:style>
  <w:style w:type="paragraph" w:styleId="ae">
    <w:name w:val="List Paragraph"/>
    <w:basedOn w:val="a"/>
    <w:uiPriority w:val="99"/>
    <w:rsid w:val="00AC1B81"/>
    <w:pPr>
      <w:ind w:firstLineChars="200" w:firstLine="420"/>
    </w:pPr>
  </w:style>
  <w:style w:type="paragraph" w:styleId="af">
    <w:name w:val="Revision"/>
    <w:hidden/>
    <w:uiPriority w:val="99"/>
    <w:semiHidden/>
    <w:rsid w:val="00680BFB"/>
    <w:rPr>
      <w:rFonts w:ascii="Calibri" w:eastAsia="宋体" w:hAnsi="Calibri" w:cs="Times New Roman"/>
      <w:kern w:val="2"/>
      <w:sz w:val="21"/>
      <w:szCs w:val="22"/>
    </w:rPr>
  </w:style>
  <w:style w:type="table" w:styleId="af0">
    <w:name w:val="Table Grid"/>
    <w:basedOn w:val="a1"/>
    <w:uiPriority w:val="39"/>
    <w:rsid w:val="008C0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陈媚</dc:creator>
  <cp:lastModifiedBy>DeHeng</cp:lastModifiedBy>
  <cp:revision>148</cp:revision>
  <dcterms:created xsi:type="dcterms:W3CDTF">2021-03-02T15:47:00Z</dcterms:created>
  <dcterms:modified xsi:type="dcterms:W3CDTF">2022-10-10T02:35:00Z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