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6145" w14:textId="77777777" w:rsidR="00D07C8D" w:rsidRDefault="00000000">
      <w:pPr>
        <w:spacing w:after="240" w:line="240" w:lineRule="auto"/>
        <w:jc w:val="center"/>
        <w:rPr>
          <w:rFonts w:ascii="黑体" w:eastAsia="黑体" w:hAnsi="黑体" w:cs="黑体"/>
          <w:bCs/>
          <w:sz w:val="36"/>
          <w:szCs w:val="36"/>
          <w:lang w:val="en-GB" w:bidi="ar-AE"/>
        </w:rPr>
      </w:pPr>
      <w:r>
        <w:rPr>
          <w:rFonts w:ascii="黑体" w:eastAsia="黑体" w:hAnsi="黑体" w:cs="黑体" w:hint="eastAsia"/>
          <w:bCs/>
          <w:sz w:val="36"/>
          <w:szCs w:val="36"/>
          <w:lang w:val="en-GB" w:bidi="ar-AE"/>
        </w:rPr>
        <w:t>经营者集中简易案件公示表</w:t>
      </w:r>
    </w:p>
    <w:tbl>
      <w:tblPr>
        <w:tblW w:w="9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215"/>
      </w:tblGrid>
      <w:tr w:rsidR="00D07C8D" w14:paraId="0D5BA23D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61992C5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eastAsia="en-GB" w:bidi="ar-AE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eastAsia="en-GB" w:bidi="ar-AE"/>
              </w:rPr>
              <w:t>案件名称</w:t>
            </w:r>
            <w:proofErr w:type="spellEnd"/>
          </w:p>
        </w:tc>
        <w:tc>
          <w:tcPr>
            <w:tcW w:w="7822" w:type="dxa"/>
            <w:gridSpan w:val="2"/>
            <w:vAlign w:val="center"/>
          </w:tcPr>
          <w:p w14:paraId="0E206F54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-AE"/>
              </w:rPr>
              <w:t>杭州锦江集团有限公司收购焦作万方铝业股份有限公司股权案</w:t>
            </w:r>
          </w:p>
        </w:tc>
      </w:tr>
      <w:tr w:rsidR="00D07C8D" w14:paraId="5FD5AAC1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0F6BC4E5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822" w:type="dxa"/>
            <w:gridSpan w:val="2"/>
            <w:vAlign w:val="center"/>
          </w:tcPr>
          <w:p w14:paraId="466BF1F3" w14:textId="68F1F776" w:rsidR="004D4062" w:rsidRDefault="0039329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bidi="ar-AE"/>
              </w:rPr>
            </w:pPr>
            <w:r w:rsidRPr="00393297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杭州锦江集团有限公司（“杭州锦江”）目前通过其下属公司宁波中曼科技管理有限公司、浙江安晟控股有限公司间接合计持有焦作万方铝业股份有限公司（“焦作万方”）</w:t>
            </w:r>
            <w:r w:rsidRPr="00393297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1</w:t>
            </w:r>
            <w:r w:rsidR="002B06A7">
              <w:rPr>
                <w:rFonts w:ascii="Times New Roman" w:eastAsia="宋体" w:hAnsi="Times New Roman" w:cs="Times New Roman"/>
                <w:sz w:val="24"/>
                <w:szCs w:val="24"/>
                <w:lang w:bidi="ar-AE"/>
              </w:rPr>
              <w:t>9</w:t>
            </w:r>
            <w:r w:rsidRPr="00393297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.31%</w:t>
            </w:r>
            <w:r w:rsidRPr="00393297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股份，已是焦作万方第一大股东，但是尚未获得焦作万方的控制权。</w:t>
            </w:r>
          </w:p>
          <w:p w14:paraId="346D4AA7" w14:textId="614056CE" w:rsidR="00D07C8D" w:rsidRPr="002F311F" w:rsidRDefault="004D4062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bidi="ar-A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杭州锦江</w:t>
            </w:r>
            <w:r w:rsidRPr="004D4062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后续拟通过二级市场集中竞价或大宗交易受让股份的方式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进一步增持焦作万方的股份，并向焦作万方</w:t>
            </w:r>
            <w:r w:rsidRPr="004D4062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董事会</w:t>
            </w:r>
            <w:r w:rsidR="008908C1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增加</w:t>
            </w:r>
            <w:r w:rsidRPr="004D4062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委派董事</w:t>
            </w:r>
            <w:r w:rsidR="00D65D77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。交易前，焦作万方无最终控制人。交易后，</w:t>
            </w:r>
            <w:r w:rsidR="002B06A7"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杭州锦江将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-AE"/>
              </w:rPr>
              <w:t>单独控制焦作万方。</w:t>
            </w:r>
          </w:p>
        </w:tc>
      </w:tr>
      <w:tr w:rsidR="00D07C8D" w14:paraId="20D3B185" w14:textId="77777777">
        <w:trPr>
          <w:trHeight w:val="15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3048FE6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>参与集中的经营者简介（每个限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-AE"/>
              </w:rPr>
              <w:t>100字以内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607" w:type="dxa"/>
            <w:vAlign w:val="center"/>
          </w:tcPr>
          <w:p w14:paraId="01111F9C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  <w:t>1.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>杭州锦江</w:t>
            </w:r>
          </w:p>
        </w:tc>
        <w:tc>
          <w:tcPr>
            <w:tcW w:w="6215" w:type="dxa"/>
            <w:vAlign w:val="center"/>
          </w:tcPr>
          <w:p w14:paraId="08F647DE" w14:textId="77777777" w:rsidR="00AA7778" w:rsidRPr="002F311F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杭州锦江于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1993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日成立于中国浙江省，主要</w:t>
            </w:r>
            <w:r w:rsidR="00AA7778"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从事管理、股权投资、实业投资等。</w:t>
            </w:r>
          </w:p>
          <w:p w14:paraId="6B2FB8DC" w14:textId="77777777" w:rsidR="00D07C8D" w:rsidRPr="002F311F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</w:pP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杭州锦江的最终控制人为自然人，主要通过</w:t>
            </w:r>
            <w:r w:rsidR="00AA7778"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其控制的企业从事</w:t>
            </w:r>
            <w:r w:rsidR="00AA7778" w:rsidRPr="002F311F">
              <w:rPr>
                <w:rFonts w:ascii="Times New Roman" w:eastAsia="宋体" w:hAnsi="Times New Roman" w:cs="Times New Roman"/>
                <w:sz w:val="24"/>
                <w:szCs w:val="24"/>
              </w:rPr>
              <w:t>环保能源、有色金属、化工新材料，贸易及金融等。</w:t>
            </w:r>
          </w:p>
        </w:tc>
      </w:tr>
      <w:tr w:rsidR="00D07C8D" w14:paraId="66D18245" w14:textId="77777777">
        <w:trPr>
          <w:trHeight w:val="1347"/>
        </w:trPr>
        <w:tc>
          <w:tcPr>
            <w:tcW w:w="1940" w:type="dxa"/>
            <w:vMerge/>
            <w:shd w:val="clear" w:color="auto" w:fill="D9D9D9"/>
            <w:vAlign w:val="center"/>
          </w:tcPr>
          <w:p w14:paraId="744DF23C" w14:textId="77777777" w:rsidR="00D07C8D" w:rsidRDefault="00D07C8D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 w14:paraId="6D52ED77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-AE"/>
              </w:rPr>
              <w:t>2.焦作万方</w:t>
            </w:r>
          </w:p>
        </w:tc>
        <w:tc>
          <w:tcPr>
            <w:tcW w:w="6215" w:type="dxa"/>
            <w:vAlign w:val="center"/>
          </w:tcPr>
          <w:p w14:paraId="216CF03C" w14:textId="77777777" w:rsidR="00D07C8D" w:rsidRPr="002F311F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</w:pP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焦作万方于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1993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年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3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月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22</w:t>
            </w: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日成立于中国河南省，为深圳证券交易所上市公司，主要业务为铝冶炼及加工，铝制品、金属材料销售等。</w:t>
            </w:r>
          </w:p>
          <w:p w14:paraId="6B48E6F7" w14:textId="77777777" w:rsidR="00D07C8D" w:rsidRPr="002F311F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F311F">
              <w:rPr>
                <w:rFonts w:ascii="Times New Roman" w:eastAsia="宋体" w:hAnsi="Times New Roman" w:cs="Times New Roman"/>
                <w:sz w:val="24"/>
                <w:szCs w:val="24"/>
                <w:lang w:val="en-GB" w:bidi="ar-AE"/>
              </w:rPr>
              <w:t>焦作万方无最终控制人。</w:t>
            </w:r>
          </w:p>
        </w:tc>
      </w:tr>
      <w:tr w:rsidR="00D07C8D" w14:paraId="398426AC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7F8AAE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822" w:type="dxa"/>
            <w:gridSpan w:val="2"/>
            <w:vAlign w:val="center"/>
          </w:tcPr>
          <w:p w14:paraId="4DF7E11E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sym w:font="Wingdings" w:char="00FE"/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 xml:space="preserve"> 1、在同一相关市场，所有参与集中的经营者所占市场份额之和小于15%。</w:t>
            </w:r>
          </w:p>
        </w:tc>
      </w:tr>
      <w:tr w:rsidR="00D07C8D" w14:paraId="56E31E1E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1DCC681B" w14:textId="77777777" w:rsidR="00D07C8D" w:rsidRDefault="00D07C8D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822" w:type="dxa"/>
            <w:gridSpan w:val="2"/>
            <w:vAlign w:val="center"/>
          </w:tcPr>
          <w:p w14:paraId="45C2A28F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sym w:font="Wingdings" w:char="00FE"/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 w:rsidR="00D07C8D" w14:paraId="2AE55A9D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62073A64" w14:textId="77777777" w:rsidR="00D07C8D" w:rsidRDefault="00D07C8D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822" w:type="dxa"/>
            <w:gridSpan w:val="2"/>
            <w:vAlign w:val="center"/>
          </w:tcPr>
          <w:p w14:paraId="4A57F1D5" w14:textId="25AF6068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D07C8D" w14:paraId="2A6EAD68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3BD1F188" w14:textId="77777777" w:rsidR="00D07C8D" w:rsidRDefault="00D07C8D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822" w:type="dxa"/>
            <w:gridSpan w:val="2"/>
            <w:vAlign w:val="center"/>
          </w:tcPr>
          <w:p w14:paraId="002BC69A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 w:rsidR="00D07C8D" w14:paraId="61598855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72FF2FBE" w14:textId="77777777" w:rsidR="00D07C8D" w:rsidRDefault="00D07C8D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822" w:type="dxa"/>
            <w:gridSpan w:val="2"/>
            <w:vAlign w:val="center"/>
          </w:tcPr>
          <w:p w14:paraId="42D786C2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D07C8D" w14:paraId="22B45685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42D00623" w14:textId="77777777" w:rsidR="00D07C8D" w:rsidRDefault="00D07C8D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822" w:type="dxa"/>
            <w:gridSpan w:val="2"/>
            <w:vAlign w:val="center"/>
          </w:tcPr>
          <w:p w14:paraId="41883DB6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D07C8D" w14:paraId="7BBB0E48" w14:textId="77777777">
        <w:trPr>
          <w:trHeight w:val="560"/>
        </w:trPr>
        <w:tc>
          <w:tcPr>
            <w:tcW w:w="1940" w:type="dxa"/>
            <w:shd w:val="clear" w:color="auto" w:fill="D9D9D9"/>
            <w:vAlign w:val="center"/>
          </w:tcPr>
          <w:p w14:paraId="7B67F944" w14:textId="77777777" w:rsidR="00D07C8D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822" w:type="dxa"/>
            <w:gridSpan w:val="2"/>
            <w:vAlign w:val="center"/>
          </w:tcPr>
          <w:p w14:paraId="5ED29472" w14:textId="77777777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横向重叠：</w:t>
            </w:r>
          </w:p>
          <w:p w14:paraId="4F95C53C" w14:textId="77777777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023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年中国境内电解铝市场：</w:t>
            </w:r>
          </w:p>
          <w:p w14:paraId="3FBC773F" w14:textId="77777777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杭州锦江：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0-5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%，焦作万方：0-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%，各方合计：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0-5%</w:t>
            </w:r>
          </w:p>
          <w:p w14:paraId="3C378DAB" w14:textId="77777777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纵向关联：</w:t>
            </w:r>
          </w:p>
          <w:p w14:paraId="3A42B489" w14:textId="77777777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上游：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2023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中国境内氧化铝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市场：</w:t>
            </w:r>
          </w:p>
          <w:p w14:paraId="2C14B653" w14:textId="6C6C1BBC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杭州锦江：</w:t>
            </w:r>
            <w:r w:rsidR="003F59B8">
              <w:rPr>
                <w:rFonts w:ascii="宋体" w:hAnsi="宋体" w:cs="宋体"/>
                <w:bCs/>
                <w:color w:val="000000"/>
                <w:lang w:val="en-US" w:eastAsia="zh-CN"/>
              </w:rPr>
              <w:t>5-10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%</w:t>
            </w:r>
          </w:p>
          <w:p w14:paraId="31A35DBA" w14:textId="77777777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下游：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2023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年中国境内电解铝市场：</w:t>
            </w:r>
          </w:p>
          <w:p w14:paraId="634F7EA9" w14:textId="33880FFD" w:rsidR="00D07C8D" w:rsidRDefault="00000000">
            <w:pPr>
              <w:pStyle w:val="a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如上所述</w:t>
            </w:r>
          </w:p>
        </w:tc>
      </w:tr>
    </w:tbl>
    <w:p w14:paraId="521FC7C8" w14:textId="77777777" w:rsidR="00D07C8D" w:rsidRDefault="00D07C8D"/>
    <w:sectPr w:rsidR="00D07C8D">
      <w:footerReference w:type="default" r:id="rId6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9645" w14:textId="77777777" w:rsidR="00D407DD" w:rsidRDefault="00D407DD">
      <w:pPr>
        <w:spacing w:line="240" w:lineRule="auto"/>
      </w:pPr>
      <w:r>
        <w:separator/>
      </w:r>
    </w:p>
  </w:endnote>
  <w:endnote w:type="continuationSeparator" w:id="0">
    <w:p w14:paraId="2509A292" w14:textId="77777777" w:rsidR="00D407DD" w:rsidRDefault="00D4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7"/>
      <w:gridCol w:w="3011"/>
      <w:gridCol w:w="3008"/>
    </w:tblGrid>
    <w:tr w:rsidR="00D07C8D" w14:paraId="270234E2" w14:textId="77777777">
      <w:tc>
        <w:tcPr>
          <w:tcW w:w="3080" w:type="dxa"/>
        </w:tcPr>
        <w:p w14:paraId="6BAB67C8" w14:textId="77777777" w:rsidR="00D07C8D" w:rsidRDefault="00D07C8D">
          <w:pPr>
            <w:pStyle w:val="a9"/>
          </w:pPr>
        </w:p>
      </w:tc>
      <w:tc>
        <w:tcPr>
          <w:tcW w:w="3081" w:type="dxa"/>
        </w:tcPr>
        <w:p w14:paraId="29B9589F" w14:textId="77777777" w:rsidR="00D07C8D" w:rsidRDefault="00000000">
          <w:pPr>
            <w:pStyle w:val="a9"/>
            <w:jc w:val="center"/>
            <w:rPr>
              <w:rStyle w:val="ae"/>
              <w:rFonts w:cs="Times New Roman"/>
            </w:rPr>
          </w:pPr>
          <w:r>
            <w:rPr>
              <w:rStyle w:val="ae"/>
              <w:rFonts w:cs="Times New Roman"/>
            </w:rPr>
            <w:t xml:space="preserve">- </w:t>
          </w:r>
          <w:r>
            <w:rPr>
              <w:rStyle w:val="ae"/>
              <w:rFonts w:cs="Times New Roman"/>
            </w:rPr>
            <w:fldChar w:fldCharType="begin"/>
          </w:r>
          <w:r>
            <w:rPr>
              <w:rStyle w:val="ae"/>
              <w:rFonts w:cs="Times New Roman"/>
            </w:rPr>
            <w:instrText xml:space="preserve"> PAGE   \* MERGEFORMAT </w:instrText>
          </w:r>
          <w:r>
            <w:rPr>
              <w:rStyle w:val="ae"/>
              <w:rFonts w:cs="Times New Roman"/>
            </w:rPr>
            <w:fldChar w:fldCharType="separate"/>
          </w:r>
          <w:r>
            <w:rPr>
              <w:rStyle w:val="ae"/>
              <w:rFonts w:cs="Times New Roman"/>
              <w:lang w:val="en-US"/>
            </w:rPr>
            <w:t>1</w:t>
          </w:r>
          <w:r>
            <w:rPr>
              <w:rStyle w:val="ae"/>
              <w:rFonts w:cs="Times New Roman"/>
            </w:rPr>
            <w:fldChar w:fldCharType="end"/>
          </w:r>
          <w:r>
            <w:rPr>
              <w:rStyle w:val="ae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6899411" w14:textId="77777777" w:rsidR="00D07C8D" w:rsidRDefault="00D07C8D">
          <w:pPr>
            <w:pStyle w:val="FooterRight"/>
          </w:pPr>
        </w:p>
      </w:tc>
    </w:tr>
  </w:tbl>
  <w:p w14:paraId="1AB37A60" w14:textId="77777777" w:rsidR="00D07C8D" w:rsidRDefault="00D07C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1D10" w14:textId="77777777" w:rsidR="00D407DD" w:rsidRDefault="00D407DD">
      <w:pPr>
        <w:spacing w:after="0"/>
      </w:pPr>
      <w:r>
        <w:separator/>
      </w:r>
    </w:p>
  </w:footnote>
  <w:footnote w:type="continuationSeparator" w:id="0">
    <w:p w14:paraId="1E550720" w14:textId="77777777" w:rsidR="00D407DD" w:rsidRDefault="00D40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wZDhlOWJjMzNiZmIzOTJmMDNmMDk1ZWE3NjYwYmIifQ=="/>
  </w:docVars>
  <w:rsids>
    <w:rsidRoot w:val="00260AA8"/>
    <w:rsid w:val="83FEFFB4"/>
    <w:rsid w:val="8FAB8BF1"/>
    <w:rsid w:val="AA3F3145"/>
    <w:rsid w:val="BBFF89E7"/>
    <w:rsid w:val="BEBC342D"/>
    <w:rsid w:val="BFDAC19B"/>
    <w:rsid w:val="D1FDE433"/>
    <w:rsid w:val="D3FBB522"/>
    <w:rsid w:val="D9DB0420"/>
    <w:rsid w:val="DCFEC847"/>
    <w:rsid w:val="DFF30202"/>
    <w:rsid w:val="E7FE7A23"/>
    <w:rsid w:val="F39DF143"/>
    <w:rsid w:val="F7BE4ED6"/>
    <w:rsid w:val="F8E73203"/>
    <w:rsid w:val="F9BF1D70"/>
    <w:rsid w:val="F9F03496"/>
    <w:rsid w:val="FAF87562"/>
    <w:rsid w:val="FD5FB022"/>
    <w:rsid w:val="FD77CF77"/>
    <w:rsid w:val="FEDF2EE1"/>
    <w:rsid w:val="FEEEB40C"/>
    <w:rsid w:val="FEFE038E"/>
    <w:rsid w:val="FF3EA310"/>
    <w:rsid w:val="FF45C50B"/>
    <w:rsid w:val="FF7F81F3"/>
    <w:rsid w:val="FFDC942C"/>
    <w:rsid w:val="000874E6"/>
    <w:rsid w:val="00093404"/>
    <w:rsid w:val="00097D9E"/>
    <w:rsid w:val="000C76A8"/>
    <w:rsid w:val="000D4057"/>
    <w:rsid w:val="00102A0A"/>
    <w:rsid w:val="00161E9A"/>
    <w:rsid w:val="001A6C92"/>
    <w:rsid w:val="001A6E02"/>
    <w:rsid w:val="001D03CF"/>
    <w:rsid w:val="001D7131"/>
    <w:rsid w:val="001D7F68"/>
    <w:rsid w:val="001F113C"/>
    <w:rsid w:val="001F7116"/>
    <w:rsid w:val="00215E7A"/>
    <w:rsid w:val="00252438"/>
    <w:rsid w:val="00260AA8"/>
    <w:rsid w:val="00273B3F"/>
    <w:rsid w:val="002A63BD"/>
    <w:rsid w:val="002B06A7"/>
    <w:rsid w:val="002C21A8"/>
    <w:rsid w:val="002D0DFB"/>
    <w:rsid w:val="002F311F"/>
    <w:rsid w:val="00360A74"/>
    <w:rsid w:val="003679FF"/>
    <w:rsid w:val="00390532"/>
    <w:rsid w:val="00393297"/>
    <w:rsid w:val="003B68EA"/>
    <w:rsid w:val="003D0BA0"/>
    <w:rsid w:val="003F59B8"/>
    <w:rsid w:val="00406C1E"/>
    <w:rsid w:val="00415E2C"/>
    <w:rsid w:val="00427C4C"/>
    <w:rsid w:val="0043490A"/>
    <w:rsid w:val="004469BF"/>
    <w:rsid w:val="00470B3B"/>
    <w:rsid w:val="00490905"/>
    <w:rsid w:val="004A4068"/>
    <w:rsid w:val="004B6849"/>
    <w:rsid w:val="004D3C74"/>
    <w:rsid w:val="004D4062"/>
    <w:rsid w:val="005343BF"/>
    <w:rsid w:val="00537244"/>
    <w:rsid w:val="005452DA"/>
    <w:rsid w:val="005510BE"/>
    <w:rsid w:val="00570BE7"/>
    <w:rsid w:val="00583F6E"/>
    <w:rsid w:val="00596B05"/>
    <w:rsid w:val="005A792C"/>
    <w:rsid w:val="005D0E20"/>
    <w:rsid w:val="005D6972"/>
    <w:rsid w:val="005E04F6"/>
    <w:rsid w:val="005F0949"/>
    <w:rsid w:val="006142A5"/>
    <w:rsid w:val="00630A1F"/>
    <w:rsid w:val="006318AE"/>
    <w:rsid w:val="006F6E4D"/>
    <w:rsid w:val="00701E3E"/>
    <w:rsid w:val="00703BC0"/>
    <w:rsid w:val="00724A5F"/>
    <w:rsid w:val="00727F00"/>
    <w:rsid w:val="00784A90"/>
    <w:rsid w:val="007909B8"/>
    <w:rsid w:val="00793308"/>
    <w:rsid w:val="00795B70"/>
    <w:rsid w:val="007A7CE5"/>
    <w:rsid w:val="007B68BF"/>
    <w:rsid w:val="007C66D9"/>
    <w:rsid w:val="007C74E3"/>
    <w:rsid w:val="007D5E61"/>
    <w:rsid w:val="007E0183"/>
    <w:rsid w:val="007F57FE"/>
    <w:rsid w:val="008409C6"/>
    <w:rsid w:val="008746A4"/>
    <w:rsid w:val="008908C1"/>
    <w:rsid w:val="008B2733"/>
    <w:rsid w:val="008C27CF"/>
    <w:rsid w:val="0091155A"/>
    <w:rsid w:val="00991705"/>
    <w:rsid w:val="009A5667"/>
    <w:rsid w:val="00A03933"/>
    <w:rsid w:val="00A20C43"/>
    <w:rsid w:val="00A336EC"/>
    <w:rsid w:val="00A36145"/>
    <w:rsid w:val="00A45232"/>
    <w:rsid w:val="00A562EF"/>
    <w:rsid w:val="00A809AA"/>
    <w:rsid w:val="00AA7778"/>
    <w:rsid w:val="00AC57F3"/>
    <w:rsid w:val="00AE4FA1"/>
    <w:rsid w:val="00AE7D44"/>
    <w:rsid w:val="00B27BAD"/>
    <w:rsid w:val="00B82A53"/>
    <w:rsid w:val="00BB1882"/>
    <w:rsid w:val="00BC1FC6"/>
    <w:rsid w:val="00BC5FFD"/>
    <w:rsid w:val="00BD4119"/>
    <w:rsid w:val="00BD559B"/>
    <w:rsid w:val="00BE6934"/>
    <w:rsid w:val="00BF33BD"/>
    <w:rsid w:val="00BF6EBD"/>
    <w:rsid w:val="00BF7F4B"/>
    <w:rsid w:val="00C03B64"/>
    <w:rsid w:val="00C1232D"/>
    <w:rsid w:val="00C51888"/>
    <w:rsid w:val="00C6438C"/>
    <w:rsid w:val="00C85635"/>
    <w:rsid w:val="00C91257"/>
    <w:rsid w:val="00CA19E9"/>
    <w:rsid w:val="00CC6B5A"/>
    <w:rsid w:val="00D01504"/>
    <w:rsid w:val="00D06C87"/>
    <w:rsid w:val="00D07C8D"/>
    <w:rsid w:val="00D14733"/>
    <w:rsid w:val="00D40522"/>
    <w:rsid w:val="00D407DD"/>
    <w:rsid w:val="00D450D1"/>
    <w:rsid w:val="00D4704D"/>
    <w:rsid w:val="00D57C26"/>
    <w:rsid w:val="00D65D77"/>
    <w:rsid w:val="00D82EDF"/>
    <w:rsid w:val="00DD2660"/>
    <w:rsid w:val="00DE1C4D"/>
    <w:rsid w:val="00DF7AB5"/>
    <w:rsid w:val="00DF7B5D"/>
    <w:rsid w:val="00E17C0C"/>
    <w:rsid w:val="00E41275"/>
    <w:rsid w:val="00E65D96"/>
    <w:rsid w:val="00E7277A"/>
    <w:rsid w:val="00E8006A"/>
    <w:rsid w:val="00EC2175"/>
    <w:rsid w:val="00EF74E3"/>
    <w:rsid w:val="00F74CA6"/>
    <w:rsid w:val="00F85EDF"/>
    <w:rsid w:val="00FA1A1A"/>
    <w:rsid w:val="00FB7CE8"/>
    <w:rsid w:val="00FC65D5"/>
    <w:rsid w:val="00FD3E36"/>
    <w:rsid w:val="00FE3050"/>
    <w:rsid w:val="136FC59E"/>
    <w:rsid w:val="16F9D33C"/>
    <w:rsid w:val="1F6797F8"/>
    <w:rsid w:val="1FDCD8F2"/>
    <w:rsid w:val="24F77AD0"/>
    <w:rsid w:val="2DED0366"/>
    <w:rsid w:val="2DFF9399"/>
    <w:rsid w:val="33FEE29B"/>
    <w:rsid w:val="3C6A08A1"/>
    <w:rsid w:val="3E760DA2"/>
    <w:rsid w:val="4DFB6F6F"/>
    <w:rsid w:val="57E8EB5D"/>
    <w:rsid w:val="5A56B790"/>
    <w:rsid w:val="5AB5A959"/>
    <w:rsid w:val="5E1C59A4"/>
    <w:rsid w:val="6D071A6C"/>
    <w:rsid w:val="6FDF87C6"/>
    <w:rsid w:val="73BF6BDB"/>
    <w:rsid w:val="77B7BDD1"/>
    <w:rsid w:val="78BBB395"/>
    <w:rsid w:val="7ABF65FD"/>
    <w:rsid w:val="7ADE3512"/>
    <w:rsid w:val="7B5729F4"/>
    <w:rsid w:val="7CBF486E"/>
    <w:rsid w:val="7EAFD474"/>
    <w:rsid w:val="7EFF8D19"/>
    <w:rsid w:val="7F7BC666"/>
    <w:rsid w:val="7FC3A66D"/>
    <w:rsid w:val="7FC5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82CB"/>
  <w15:docId w15:val="{99186147-1685-4E4E-856C-0DFAA40E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pPr>
      <w:spacing w:after="240" w:line="240" w:lineRule="auto"/>
      <w:jc w:val="both"/>
    </w:pPr>
    <w:rPr>
      <w:rFonts w:ascii="Times New Roman" w:eastAsia="宋体" w:hAnsi="Times New Roman" w:cs="Simplified Arabic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customStyle="1" w:styleId="aa">
    <w:name w:val="页脚 字符"/>
    <w:basedOn w:val="a0"/>
    <w:link w:val="a9"/>
    <w:uiPriority w:val="99"/>
    <w:qFormat/>
  </w:style>
  <w:style w:type="paragraph" w:customStyle="1" w:styleId="FooterRight">
    <w:name w:val="Footer Right"/>
    <w:basedOn w:val="a9"/>
    <w:qFormat/>
    <w:pPr>
      <w:tabs>
        <w:tab w:val="clear" w:pos="4320"/>
        <w:tab w:val="clear" w:pos="8640"/>
      </w:tabs>
      <w:jc w:val="right"/>
    </w:pPr>
    <w:rPr>
      <w:rFonts w:ascii="Times New Roman" w:eastAsia="宋体" w:hAnsi="Times New Roman" w:cs="Times New Roman"/>
      <w:sz w:val="16"/>
      <w:szCs w:val="16"/>
      <w:lang w:val="en-GB" w:bidi="he-IL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Simplified Arabic"/>
      <w:sz w:val="24"/>
      <w:szCs w:val="24"/>
      <w:lang w:val="en-GB" w:eastAsia="en-GB" w:bidi="ar-AE"/>
    </w:rPr>
  </w:style>
  <w:style w:type="character" w:customStyle="1" w:styleId="a4">
    <w:name w:val="批注文字 字符"/>
    <w:basedOn w:val="a0"/>
    <w:link w:val="a3"/>
    <w:uiPriority w:val="99"/>
    <w:semiHidden/>
    <w:rPr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393297"/>
    <w:rPr>
      <w:sz w:val="21"/>
      <w:szCs w:val="21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393297"/>
    <w:rPr>
      <w:b/>
      <w:bCs/>
    </w:rPr>
  </w:style>
  <w:style w:type="character" w:customStyle="1" w:styleId="af1">
    <w:name w:val="批注主题 字符"/>
    <w:basedOn w:val="a4"/>
    <w:link w:val="af0"/>
    <w:uiPriority w:val="99"/>
    <w:semiHidden/>
    <w:rsid w:val="00393297"/>
    <w:rPr>
      <w:b/>
      <w:bCs/>
      <w:sz w:val="22"/>
      <w:szCs w:val="22"/>
    </w:rPr>
  </w:style>
  <w:style w:type="paragraph" w:styleId="af2">
    <w:name w:val="Revision"/>
    <w:hidden/>
    <w:uiPriority w:val="99"/>
    <w:unhideWhenUsed/>
    <w:rsid w:val="008908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aHui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DaHui Lawyers</dc:creator>
  <cp:lastModifiedBy>DeHeng</cp:lastModifiedBy>
  <cp:revision>6</cp:revision>
  <dcterms:created xsi:type="dcterms:W3CDTF">2024-05-06T03:21:00Z</dcterms:created>
  <dcterms:modified xsi:type="dcterms:W3CDTF">2024-05-10T01:30:00Z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EF2F128D287649DE99ADAE37E9B49905</vt:lpwstr>
  </property>
</Properties>
</file>