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1040" w:lineRule="exact"/>
        <w:ind w:left="170" w:right="170"/>
        <w:jc w:val="distribute"/>
        <w:textAlignment w:val="auto"/>
        <w:rPr>
          <w:rFonts w:hint="eastAsia" w:ascii="方正小标宋简体" w:hAnsi="宋体" w:eastAsia="方正小标宋简体"/>
          <w:color w:val="FF0000"/>
          <w:kern w:val="2"/>
          <w:sz w:val="72"/>
          <w:szCs w:val="72"/>
          <w:lang w:eastAsia="zh-CN"/>
        </w:rPr>
      </w:pPr>
      <w:r>
        <w:rPr>
          <w:rFonts w:hint="eastAsia" w:ascii="方正小标宋简体" w:hAnsi="宋体" w:eastAsia="方正小标宋简体"/>
          <w:color w:val="FF0000"/>
          <w:kern w:val="2"/>
          <w:sz w:val="72"/>
          <w:szCs w:val="72"/>
        </w:rPr>
        <w:t>上海市市场监督管理局</w:t>
      </w:r>
    </w:p>
    <w:p>
      <w:pPr>
        <w:keepNext w:val="0"/>
        <w:keepLines w:val="0"/>
        <w:pageBreakBefore w:val="0"/>
        <w:widowControl w:val="0"/>
        <w:kinsoku/>
        <w:wordWrap/>
        <w:overflowPunct w:val="0"/>
        <w:topLinePunct w:val="0"/>
        <w:autoSpaceDE/>
        <w:autoSpaceDN/>
        <w:bidi w:val="0"/>
        <w:adjustRightInd w:val="0"/>
        <w:snapToGrid w:val="0"/>
        <w:spacing w:line="1040" w:lineRule="exact"/>
        <w:ind w:left="170" w:right="170"/>
        <w:jc w:val="distribute"/>
        <w:textAlignment w:val="auto"/>
        <w:rPr>
          <w:rFonts w:hint="eastAsia" w:ascii="方正小标宋简体" w:hAnsi="宋体" w:eastAsia="方正小标宋简体"/>
          <w:color w:val="FF0000"/>
          <w:kern w:val="2"/>
          <w:sz w:val="72"/>
          <w:szCs w:val="72"/>
          <w:lang w:eastAsia="zh-CN"/>
        </w:rPr>
      </w:pPr>
      <w:r>
        <w:rPr>
          <w:rFonts w:hint="eastAsia" w:ascii="方正小标宋简体" w:hAnsi="宋体" w:eastAsia="方正小标宋简体"/>
          <w:color w:val="FF0000"/>
          <w:kern w:val="2"/>
          <w:sz w:val="72"/>
          <w:szCs w:val="72"/>
        </w:rPr>
        <w:t>北京市市场监督管理局</w:t>
      </w:r>
    </w:p>
    <w:p>
      <w:pPr>
        <w:keepNext w:val="0"/>
        <w:keepLines w:val="0"/>
        <w:pageBreakBefore w:val="0"/>
        <w:widowControl w:val="0"/>
        <w:kinsoku/>
        <w:wordWrap/>
        <w:overflowPunct w:val="0"/>
        <w:topLinePunct w:val="0"/>
        <w:autoSpaceDE/>
        <w:autoSpaceDN/>
        <w:bidi w:val="0"/>
        <w:adjustRightInd w:val="0"/>
        <w:snapToGrid w:val="0"/>
        <w:spacing w:line="1040" w:lineRule="exact"/>
        <w:ind w:left="170" w:right="170"/>
        <w:jc w:val="distribute"/>
        <w:textAlignment w:val="auto"/>
        <w:rPr>
          <w:rFonts w:hint="eastAsia" w:ascii="方正小标宋简体" w:hAnsi="宋体" w:eastAsia="方正小标宋简体"/>
          <w:color w:val="FF0000"/>
          <w:w w:val="95"/>
          <w:kern w:val="2"/>
          <w:sz w:val="72"/>
          <w:szCs w:val="72"/>
          <w:lang w:eastAsia="zh-CN"/>
        </w:rPr>
      </w:pPr>
      <w:r>
        <w:rPr>
          <w:rFonts w:hint="eastAsia" w:ascii="方正小标宋简体" w:hAnsi="宋体" w:eastAsia="方正小标宋简体"/>
          <w:color w:val="FF0000"/>
          <w:w w:val="95"/>
          <w:kern w:val="2"/>
          <w:sz w:val="72"/>
          <w:szCs w:val="72"/>
        </w:rPr>
        <w:t>天津市市场监督管理委员会</w:t>
      </w:r>
    </w:p>
    <w:p>
      <w:pPr>
        <w:keepNext w:val="0"/>
        <w:keepLines w:val="0"/>
        <w:pageBreakBefore w:val="0"/>
        <w:widowControl w:val="0"/>
        <w:kinsoku/>
        <w:wordWrap/>
        <w:overflowPunct w:val="0"/>
        <w:topLinePunct w:val="0"/>
        <w:autoSpaceDE/>
        <w:autoSpaceDN/>
        <w:bidi w:val="0"/>
        <w:adjustRightInd w:val="0"/>
        <w:snapToGrid w:val="0"/>
        <w:spacing w:line="1040" w:lineRule="exact"/>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重庆市市场监督管理局</w:t>
      </w:r>
    </w:p>
    <w:p>
      <w:pPr>
        <w:tabs>
          <w:tab w:val="left" w:pos="790"/>
        </w:tabs>
        <w:overflowPunct w:val="0"/>
        <w:adjustRightInd w:val="0"/>
        <w:snapToGrid w:val="0"/>
        <w:spacing w:line="252" w:lineRule="auto"/>
        <w:jc w:val="center"/>
        <w:rPr>
          <w:rFonts w:hint="eastAsia" w:ascii="黑体" w:eastAsia="黑体"/>
          <w:kern w:val="2"/>
          <w:szCs w:val="32"/>
        </w:rPr>
      </w:pPr>
    </w:p>
    <w:p>
      <w:pPr>
        <w:tabs>
          <w:tab w:val="left" w:pos="790"/>
        </w:tabs>
        <w:overflowPunct w:val="0"/>
        <w:adjustRightInd w:val="0"/>
        <w:snapToGrid w:val="0"/>
        <w:spacing w:line="252" w:lineRule="auto"/>
        <w:jc w:val="center"/>
        <w:rPr>
          <w:rFonts w:hint="eastAsia" w:ascii="黑体" w:eastAsia="黑体"/>
          <w:kern w:val="2"/>
          <w:szCs w:val="32"/>
        </w:rPr>
      </w:pPr>
    </w:p>
    <w:p>
      <w:pPr>
        <w:tabs>
          <w:tab w:val="left" w:pos="790"/>
        </w:tabs>
        <w:overflowPunct w:val="0"/>
        <w:adjustRightInd w:val="0"/>
        <w:snapToGrid w:val="0"/>
        <w:spacing w:line="336" w:lineRule="auto"/>
        <w:jc w:val="center"/>
        <w:rPr>
          <w:rFonts w:hint="eastAsia"/>
          <w:kern w:val="2"/>
          <w:szCs w:val="32"/>
        </w:rPr>
      </w:pPr>
      <w:r>
        <w:rPr>
          <w:rFonts w:hint="eastAsia"/>
          <w:kern w:val="2"/>
          <w:szCs w:val="30"/>
        </w:rP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30.4pt;height:0pt;width:442.2pt;z-index:251658240;mso-width-relative:page;mso-height-relative:page;" filled="f" stroked="t" coordsize="21600,21600" o:gfxdata="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gOgsDUAAAABgEAAA8AAAAAAAAAAQAgAAAAOAAAAGRycy9kb3ducmV2LnhtbFBLAQIUABQA&#10;AAAIAIdO4kApw8Qv3gEAAJoDAAAOAAAAAAAAAAEAIAAAADkBAABkcnMvZTJvRG9jLnhtbFBLBQYA&#10;AAAABgAGAFkBAACJBQAAAAA=&#10;">
                <v:fill on="f" focussize="0,0"/>
                <v:stroke weight="1.5pt" color="#FF0000" joinstyle="round"/>
                <v:imagedata o:title=""/>
                <o:lock v:ext="edit" aspectratio="f"/>
                <w10:anchorlock/>
              </v:line>
            </w:pict>
          </mc:Fallback>
        </mc:AlternateContent>
      </w:r>
      <w:r>
        <w:rPr>
          <w:rFonts w:hint="eastAsia"/>
          <w:kern w:val="2"/>
          <w:szCs w:val="32"/>
        </w:rPr>
        <w:t>沪市监</w:t>
      </w:r>
      <w:r>
        <w:rPr>
          <w:rFonts w:hint="eastAsia"/>
          <w:kern w:val="2"/>
          <w:szCs w:val="32"/>
          <w:lang w:eastAsia="zh-CN"/>
        </w:rPr>
        <w:t>产质</w:t>
      </w:r>
      <w:r>
        <w:rPr>
          <w:rFonts w:hint="eastAsia"/>
          <w:kern w:val="2"/>
          <w:szCs w:val="32"/>
        </w:rPr>
        <w:t>〔202</w:t>
      </w:r>
      <w:r>
        <w:rPr>
          <w:rFonts w:hint="default"/>
          <w:kern w:val="2"/>
          <w:szCs w:val="32"/>
          <w:lang w:val="en"/>
        </w:rPr>
        <w:t>4</w:t>
      </w:r>
      <w:r>
        <w:rPr>
          <w:rFonts w:hint="eastAsia"/>
          <w:kern w:val="2"/>
          <w:szCs w:val="32"/>
        </w:rPr>
        <w:t>〕</w:t>
      </w:r>
      <w:r>
        <w:rPr>
          <w:rFonts w:hint="default"/>
          <w:kern w:val="2"/>
          <w:szCs w:val="32"/>
          <w:lang w:val="en"/>
        </w:rPr>
        <w:t>120</w:t>
      </w:r>
      <w:r>
        <w:rPr>
          <w:rFonts w:hint="eastAsia"/>
          <w:kern w:val="2"/>
          <w:szCs w:val="32"/>
        </w:rPr>
        <w:t>号</w:t>
      </w:r>
    </w:p>
    <w:p>
      <w:pPr>
        <w:tabs>
          <w:tab w:val="left" w:pos="790"/>
        </w:tabs>
        <w:overflowPunct w:val="0"/>
        <w:adjustRightInd w:val="0"/>
        <w:snapToGrid w:val="0"/>
        <w:spacing w:line="336" w:lineRule="auto"/>
        <w:jc w:val="center"/>
        <w:rPr>
          <w:rFonts w:hint="eastAsia"/>
          <w:kern w:val="2"/>
          <w:szCs w:val="30"/>
        </w:rPr>
      </w:pPr>
    </w:p>
    <w:p>
      <w:pPr>
        <w:tabs>
          <w:tab w:val="left" w:pos="790"/>
        </w:tabs>
        <w:overflowPunct w:val="0"/>
        <w:adjustRightInd w:val="0"/>
        <w:snapToGrid w:val="0"/>
        <w:spacing w:line="336" w:lineRule="auto"/>
        <w:jc w:val="center"/>
        <w:rPr>
          <w:rFonts w:hint="eastAsia"/>
          <w:kern w:val="2"/>
          <w:szCs w:val="30"/>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lang w:eastAsia="zh-CN"/>
        </w:rPr>
      </w:pPr>
      <w:r>
        <w:rPr>
          <w:rFonts w:hint="eastAsia" w:ascii="方正小标宋简体" w:hAnsi="宋体" w:eastAsia="方正小标宋简体"/>
          <w:kern w:val="2"/>
          <w:sz w:val="44"/>
          <w:szCs w:val="44"/>
        </w:rPr>
        <w:t>上海市市场监督管理局</w:t>
      </w:r>
      <w:r>
        <w:rPr>
          <w:rFonts w:hint="eastAsia" w:ascii="方正小标宋简体" w:hAnsi="宋体" w:eastAsia="方正小标宋简体"/>
          <w:kern w:val="2"/>
          <w:sz w:val="44"/>
          <w:szCs w:val="44"/>
          <w:lang w:eastAsia="zh-CN"/>
        </w:rPr>
        <w:t>　</w:t>
      </w:r>
    </w:p>
    <w:p>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lang w:eastAsia="zh-CN"/>
        </w:rPr>
      </w:pPr>
      <w:r>
        <w:rPr>
          <w:rFonts w:hint="eastAsia" w:ascii="方正小标宋简体" w:hAnsi="宋体" w:eastAsia="方正小标宋简体"/>
          <w:kern w:val="2"/>
          <w:sz w:val="44"/>
          <w:szCs w:val="44"/>
        </w:rPr>
        <w:t>北京市市场监督管理局</w:t>
      </w:r>
      <w:r>
        <w:rPr>
          <w:rFonts w:hint="eastAsia" w:ascii="方正小标宋简体" w:hAnsi="宋体" w:eastAsia="方正小标宋简体"/>
          <w:kern w:val="2"/>
          <w:sz w:val="44"/>
          <w:szCs w:val="44"/>
          <w:lang w:eastAsia="zh-CN"/>
        </w:rPr>
        <w:t>　</w:t>
      </w:r>
    </w:p>
    <w:p>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lang w:eastAsia="zh-CN"/>
        </w:rPr>
      </w:pPr>
      <w:r>
        <w:rPr>
          <w:rFonts w:hint="eastAsia" w:ascii="方正小标宋简体" w:hAnsi="宋体" w:eastAsia="方正小标宋简体"/>
          <w:kern w:val="2"/>
          <w:sz w:val="44"/>
          <w:szCs w:val="44"/>
        </w:rPr>
        <w:t>天津市市场监督管理委员会</w:t>
      </w:r>
      <w:r>
        <w:rPr>
          <w:rFonts w:hint="eastAsia" w:ascii="方正小标宋简体" w:hAnsi="宋体" w:eastAsia="方正小标宋简体"/>
          <w:kern w:val="2"/>
          <w:sz w:val="44"/>
          <w:szCs w:val="44"/>
          <w:lang w:eastAsia="zh-CN"/>
        </w:rPr>
        <w:t>　</w:t>
      </w:r>
    </w:p>
    <w:p>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重庆市市场监督管理局关于</w:t>
      </w:r>
    </w:p>
    <w:p>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联合开展产品质量可靠性创新实践</w:t>
      </w:r>
    </w:p>
    <w:p>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赋能制造业高质量发展的意见</w:t>
      </w: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rPr>
          <w:rFonts w:hint="eastAsia" w:hAnsi="宋体"/>
          <w:kern w:val="2"/>
          <w:szCs w:val="30"/>
        </w:rPr>
      </w:pPr>
      <w:r>
        <w:rPr>
          <w:rFonts w:hint="eastAsia" w:hAnsi="宋体"/>
          <w:kern w:val="2"/>
          <w:szCs w:val="30"/>
        </w:rPr>
        <w:t>各区（县）市场监管局，各有关单位：</w:t>
      </w:r>
    </w:p>
    <w:p>
      <w:pPr>
        <w:tabs>
          <w:tab w:val="left" w:pos="790"/>
          <w:tab w:val="left" w:pos="1264"/>
        </w:tabs>
        <w:overflowPunct w:val="0"/>
        <w:adjustRightInd w:val="0"/>
        <w:snapToGrid w:val="0"/>
        <w:spacing w:line="336" w:lineRule="auto"/>
        <w:ind w:firstLine="624"/>
        <w:rPr>
          <w:rFonts w:hint="default" w:hAnsi="宋体"/>
          <w:kern w:val="2"/>
          <w:szCs w:val="30"/>
          <w:lang w:val="en"/>
        </w:rPr>
      </w:pPr>
      <w:r>
        <w:rPr>
          <w:rFonts w:hint="eastAsia" w:hAnsi="宋体"/>
          <w:kern w:val="2"/>
          <w:szCs w:val="30"/>
        </w:rPr>
        <w:t>产品质量可靠性是产品在规定的条件下和规定的时间内完成规定功能的能力，是反映产品质量水平的核心指标。为贯彻落实党的二十大精神和《质量强国建设纲要》要求，发挥好可靠性对工业产品“提质强企”的牵引作用，加快可靠性技术创新与应用，打造京津沪渝都市圈产品质量可靠性创新高地，上海、北京、天津、重庆四直辖市市场监管部门</w:t>
      </w:r>
      <w:r>
        <w:rPr>
          <w:rFonts w:hint="eastAsia" w:hAnsi="宋体"/>
          <w:kern w:val="2"/>
          <w:szCs w:val="30"/>
          <w:lang w:eastAsia="zh-CN"/>
        </w:rPr>
        <w:t>就</w:t>
      </w:r>
      <w:r>
        <w:rPr>
          <w:rFonts w:hint="eastAsia" w:hAnsi="宋体"/>
          <w:kern w:val="2"/>
          <w:szCs w:val="30"/>
        </w:rPr>
        <w:t>联合开展产品质量可靠性创新实践</w:t>
      </w:r>
      <w:r>
        <w:rPr>
          <w:rFonts w:hint="eastAsia" w:hAnsi="宋体"/>
          <w:kern w:val="2"/>
          <w:szCs w:val="30"/>
          <w:lang w:eastAsia="zh-CN"/>
        </w:rPr>
        <w:t>赋能制造业高质量发展</w:t>
      </w:r>
      <w:r>
        <w:rPr>
          <w:rFonts w:hint="eastAsia" w:hAnsi="宋体"/>
          <w:kern w:val="2"/>
          <w:szCs w:val="30"/>
        </w:rPr>
        <w:t>提出如下意见：</w:t>
      </w:r>
    </w:p>
    <w:p>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lang w:eastAsia="zh-CN"/>
        </w:rPr>
      </w:pPr>
      <w:r>
        <w:rPr>
          <w:rFonts w:hint="eastAsia" w:ascii="黑体" w:hAnsi="黑体" w:eastAsia="黑体" w:cs="黑体"/>
          <w:kern w:val="2"/>
          <w:szCs w:val="30"/>
          <w:lang w:eastAsia="zh-CN"/>
        </w:rPr>
        <w:t>一、指导思想</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坚持以习近平新时代中国特色社会主义思想为指导，深入贯彻党的二十大精神，完整、准确、全面贯彻新发展理念，加快构建新发展格局，更好统筹高质量发展和高水平安全，建立健全跨区域可靠性创新实践协同推进机制，聚焦战略性新兴重点产业，紧盯短板弱项，加强可靠性技术基础研究，以选树产品质量可靠性创新</w:t>
      </w:r>
      <w:r>
        <w:rPr>
          <w:rFonts w:hint="eastAsia" w:hAnsi="宋体"/>
          <w:kern w:val="2"/>
          <w:szCs w:val="30"/>
          <w:lang w:eastAsia="zh-CN"/>
        </w:rPr>
        <w:t>“</w:t>
      </w:r>
      <w:r>
        <w:rPr>
          <w:rFonts w:hint="eastAsia" w:hAnsi="宋体"/>
          <w:kern w:val="2"/>
          <w:szCs w:val="30"/>
        </w:rPr>
        <w:t>最佳实践</w:t>
      </w:r>
      <w:r>
        <w:rPr>
          <w:rFonts w:hint="eastAsia" w:hAnsi="宋体"/>
          <w:kern w:val="2"/>
          <w:szCs w:val="30"/>
          <w:lang w:eastAsia="zh-CN"/>
        </w:rPr>
        <w:t>”</w:t>
      </w:r>
      <w:r>
        <w:rPr>
          <w:rFonts w:hint="eastAsia" w:hAnsi="宋体"/>
          <w:kern w:val="2"/>
          <w:szCs w:val="30"/>
        </w:rPr>
        <w:t>为载体，发挥骨干企业龙头带动作用，强化可靠性技术全产业链应用，促进产品质量由满足符合性向追求高可靠性转型，进一步提升产品质量安全水平和产业质量竞争力，满足人民日益增长的美好生活需要。</w:t>
      </w:r>
    </w:p>
    <w:p>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lang w:eastAsia="zh-CN"/>
        </w:rPr>
      </w:pPr>
      <w:r>
        <w:rPr>
          <w:rFonts w:hint="eastAsia" w:ascii="黑体" w:hAnsi="黑体" w:eastAsia="黑体" w:cs="黑体"/>
          <w:kern w:val="2"/>
          <w:szCs w:val="30"/>
          <w:lang w:eastAsia="zh-CN"/>
        </w:rPr>
        <w:t>二、工作目标</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围绕质量强国战略目标，聚焦新能源汽车、电子信息、高端装备等重点行业，建设一批产品质量可靠性技术公共服务平台，培养一批可靠性专业人才，研发和推广一批可靠性创新技术，培育一批可靠性创新实践企业，选树一批可靠性</w:t>
      </w:r>
      <w:r>
        <w:rPr>
          <w:rFonts w:hint="eastAsia" w:hAnsi="宋体"/>
          <w:kern w:val="2"/>
          <w:szCs w:val="30"/>
          <w:lang w:eastAsia="zh-CN"/>
        </w:rPr>
        <w:t>创新“</w:t>
      </w:r>
      <w:r>
        <w:rPr>
          <w:rFonts w:hint="eastAsia" w:hAnsi="宋体"/>
          <w:kern w:val="2"/>
          <w:szCs w:val="30"/>
        </w:rPr>
        <w:t>最佳实践</w:t>
      </w:r>
      <w:r>
        <w:rPr>
          <w:rFonts w:hint="eastAsia" w:hAnsi="宋体"/>
          <w:kern w:val="2"/>
          <w:szCs w:val="30"/>
          <w:lang w:eastAsia="zh-CN"/>
        </w:rPr>
        <w:t>”</w:t>
      </w:r>
      <w:r>
        <w:rPr>
          <w:rFonts w:hint="eastAsia" w:hAnsi="宋体"/>
          <w:kern w:val="2"/>
          <w:szCs w:val="30"/>
        </w:rPr>
        <w:t>案例，打造一批质量可靠性高、市场竞争力强、品牌影响力大的工业产品。到2025年，基本形成赋能四城、带动周边、辐射全国的可靠性创新实践样板，为推动我国产品质量可靠性整体水平迈上新台阶提供可复制可推广的经验做法。</w:t>
      </w:r>
    </w:p>
    <w:p>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lang w:eastAsia="zh-CN"/>
        </w:rPr>
      </w:pPr>
      <w:r>
        <w:rPr>
          <w:rFonts w:hint="eastAsia" w:ascii="黑体" w:hAnsi="黑体" w:eastAsia="黑体" w:cs="黑体"/>
          <w:kern w:val="2"/>
          <w:szCs w:val="30"/>
          <w:lang w:eastAsia="zh-CN"/>
        </w:rPr>
        <w:t>三、工作内容</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lang w:eastAsia="zh-CN"/>
        </w:rPr>
      </w:pPr>
      <w:r>
        <w:rPr>
          <w:rFonts w:hint="eastAsia" w:ascii="楷体_GB2312" w:hAnsi="楷体_GB2312" w:eastAsia="楷体_GB2312" w:cs="楷体_GB2312"/>
          <w:kern w:val="2"/>
          <w:szCs w:val="30"/>
          <w:lang w:eastAsia="zh-CN"/>
        </w:rPr>
        <w:t>（一）筑牢可靠性创新实践根基</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w:t>
      </w:r>
      <w:r>
        <w:rPr>
          <w:rFonts w:hint="default" w:hAnsi="宋体"/>
          <w:kern w:val="2"/>
          <w:szCs w:val="30"/>
          <w:lang w:val="en"/>
        </w:rPr>
        <w:t>．</w:t>
      </w:r>
      <w:r>
        <w:rPr>
          <w:rFonts w:hint="eastAsia" w:hAnsi="宋体"/>
          <w:kern w:val="2"/>
          <w:szCs w:val="30"/>
        </w:rPr>
        <w:t>共建共享高水平可靠性专家库。立足四城，面向全国的高等院校、科研院所、技术机构、行业组织、龙头企业等，遴选一批政治素质高、专业能力强，在可靠性领域具有一定理论造诣和丰富实践经验，熟悉可靠性工作相关政策、标准和技术的专家，加强基础理论研究，参与产品质量可靠性创新实践的制度设计、技术评估、项目评审、案例评选、培训指导等工作。</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2</w:t>
      </w:r>
      <w:r>
        <w:rPr>
          <w:rFonts w:hint="default" w:hAnsi="宋体"/>
          <w:kern w:val="2"/>
          <w:szCs w:val="30"/>
          <w:lang w:val="en"/>
        </w:rPr>
        <w:t>．</w:t>
      </w:r>
      <w:r>
        <w:rPr>
          <w:rFonts w:hint="eastAsia" w:hAnsi="宋体"/>
          <w:kern w:val="2"/>
          <w:szCs w:val="30"/>
        </w:rPr>
        <w:t>建立健全可靠性技术规则体系。加强可靠性技术创新和应用整体设计，建立健全“通用</w:t>
      </w:r>
      <w:r>
        <w:rPr>
          <w:rFonts w:hint="eastAsia" w:hAnsi="宋体"/>
          <w:kern w:val="2"/>
          <w:szCs w:val="30"/>
          <w:lang w:eastAsia="zh-CN"/>
        </w:rPr>
        <w:t>＋</w:t>
      </w:r>
      <w:r>
        <w:rPr>
          <w:rFonts w:hint="eastAsia" w:hAnsi="宋体"/>
          <w:kern w:val="2"/>
          <w:szCs w:val="30"/>
        </w:rPr>
        <w:t>专业”的技术规则体系。制定产品质量可靠性技术应用指南和产品质量可靠性评价通用要求，作为指导企业加强产品质量可靠性技术创新和应用、改进产品质量可靠性的基础规则。发挥市场作用，鼓励企业、行业组织和技术机构根据行业特征、区域特色、产品特性，研究制定针对性的可靠性技术应用指南。</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3</w:t>
      </w:r>
      <w:r>
        <w:rPr>
          <w:rFonts w:hint="default" w:hAnsi="宋体"/>
          <w:kern w:val="2"/>
          <w:szCs w:val="30"/>
          <w:lang w:val="en"/>
        </w:rPr>
        <w:t>．</w:t>
      </w:r>
      <w:r>
        <w:rPr>
          <w:rFonts w:hint="eastAsia" w:hAnsi="宋体"/>
          <w:kern w:val="2"/>
          <w:szCs w:val="30"/>
        </w:rPr>
        <w:t>加强瓶颈技术难题课题研究攻关。以战略性新兴及未来产业为主攻方向，聚焦设计开发、生产制造、测试验证等关键环节，瞄准制约和影响产品质量可靠性提升的瓶颈，以课题研究推进可靠性创新技术向纵深发展。引导和鼓励一批掌握前沿技术、具备较强创新能力的企事业单位，开展原创性、引领性和关键性的问题研究，加快前瞻性、针对性和实用性的可靠性新技术落地应用。</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lang w:eastAsia="zh-CN"/>
        </w:rPr>
      </w:pPr>
      <w:r>
        <w:rPr>
          <w:rFonts w:hint="eastAsia" w:ascii="楷体_GB2312" w:hAnsi="楷体_GB2312" w:eastAsia="楷体_GB2312" w:cs="楷体_GB2312"/>
          <w:kern w:val="2"/>
          <w:szCs w:val="30"/>
          <w:lang w:eastAsia="zh-CN"/>
        </w:rPr>
        <w:t>（二）提升可靠性创新公共服务能级</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4</w:t>
      </w:r>
      <w:r>
        <w:rPr>
          <w:rFonts w:hint="default" w:hAnsi="宋体"/>
          <w:kern w:val="2"/>
          <w:szCs w:val="30"/>
          <w:lang w:val="en"/>
        </w:rPr>
        <w:t>．</w:t>
      </w:r>
      <w:r>
        <w:rPr>
          <w:rFonts w:hint="eastAsia" w:hAnsi="宋体"/>
          <w:kern w:val="2"/>
          <w:szCs w:val="30"/>
        </w:rPr>
        <w:t>建设可靠性创新公共服务平台。引导各类型行业组织、专业机构、龙头企业发挥自身优势，建设适应所在领域特点的产品质量可靠性创新服务平台，开展可靠性培训、咨询、诊断、认证等服务，面向广大企业提供可靠性综合解决方案。支持检验检测机构创建可靠性验证实验室，加强测试验证技术与装备研发，提升专用可靠性试验、环境适应性试验验证能力。引导创新平台与企业深度合作，加强数字模型等工具的开发应用，运用基于模型的数字孪生、可靠性仿真等技术提高产品质量可靠性水平。</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5</w:t>
      </w:r>
      <w:r>
        <w:rPr>
          <w:rFonts w:hint="default" w:hAnsi="宋体"/>
          <w:kern w:val="2"/>
          <w:szCs w:val="30"/>
          <w:lang w:val="en"/>
        </w:rPr>
        <w:t>．</w:t>
      </w:r>
      <w:r>
        <w:rPr>
          <w:rFonts w:hint="eastAsia" w:hAnsi="宋体"/>
          <w:kern w:val="2"/>
          <w:szCs w:val="30"/>
        </w:rPr>
        <w:t>构建可靠性协同联动工作机制。积极争取与国内外领先的可靠性研究机构建立战略合作关系，紧盯可靠性最新发展趋势，深层次开展理论研究与技术交流。健全与工业和信息化、科技等部门的政策协同，统筹推进可靠性创新技术研发、推广、应用一体化工作模式。发挥市场监管系统标准、计量、检验检测认证等质量技术基础作用，形成产品质量可靠性创新实践的助推力量。</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6</w:t>
      </w:r>
      <w:r>
        <w:rPr>
          <w:rFonts w:hint="default" w:hAnsi="宋体"/>
          <w:kern w:val="2"/>
          <w:szCs w:val="30"/>
          <w:lang w:val="en"/>
        </w:rPr>
        <w:t>．</w:t>
      </w:r>
      <w:r>
        <w:rPr>
          <w:rFonts w:hint="eastAsia" w:hAnsi="宋体"/>
          <w:kern w:val="2"/>
          <w:szCs w:val="30"/>
        </w:rPr>
        <w:t>推进产学研用深度融合。健全产学研用深度融合的可靠性创新体系，以应用型高等院校为主阵地，打造产学研用协同创新项目，全方位推进人才培养、技术研发、标准研制、产业应用，打通可靠性创新成果转化渠道。加强可靠性课程和相关专业、师资建设，形成全方位、多层次、立体化的可靠性人才培养体系。鼓励高等院校、技术机构和企业联合建设可靠性实训基地，支持企业加强可靠性人才培养和技能培训，提高工程技术人员的可靠性知识素养和实践能力。</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7</w:t>
      </w:r>
      <w:r>
        <w:rPr>
          <w:rFonts w:hint="default" w:hAnsi="宋体"/>
          <w:kern w:val="2"/>
          <w:szCs w:val="30"/>
          <w:lang w:val="en"/>
        </w:rPr>
        <w:t>．</w:t>
      </w:r>
      <w:r>
        <w:rPr>
          <w:rFonts w:hint="eastAsia" w:hAnsi="宋体"/>
          <w:kern w:val="2"/>
          <w:szCs w:val="30"/>
        </w:rPr>
        <w:t>促进全产业链可靠性提升。鼓励支持能够凝聚产业链上中下游的优质“链主”企业，集合产业链上不同规模企业，打造互相配套、联系紧密的可靠性创新实践联合体。“链主”企业发挥引领带动辐射作用，摸清产业链产品质量可靠性短板弱项，找出制约和影响产品质量可靠性的痛点堵点，组织开展可靠性技术研发，建立信息互通、技术互鉴、资源共享的协作机制，持续带动产业链不断创新发展。</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lang w:eastAsia="zh-CN"/>
        </w:rPr>
      </w:pPr>
      <w:r>
        <w:rPr>
          <w:rFonts w:hint="eastAsia" w:ascii="楷体_GB2312" w:hAnsi="楷体_GB2312" w:eastAsia="楷体_GB2312" w:cs="楷体_GB2312"/>
          <w:kern w:val="2"/>
          <w:szCs w:val="30"/>
          <w:lang w:eastAsia="zh-CN"/>
        </w:rPr>
        <w:t>（三）树立可靠性创新实践典型</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8</w:t>
      </w:r>
      <w:r>
        <w:rPr>
          <w:rFonts w:hint="default" w:hAnsi="宋体"/>
          <w:kern w:val="2"/>
          <w:szCs w:val="30"/>
          <w:lang w:val="en"/>
        </w:rPr>
        <w:t>．</w:t>
      </w:r>
      <w:r>
        <w:rPr>
          <w:rFonts w:hint="eastAsia" w:hAnsi="宋体"/>
          <w:kern w:val="2"/>
          <w:szCs w:val="30"/>
        </w:rPr>
        <w:t>选树产品质量可靠性</w:t>
      </w:r>
      <w:r>
        <w:rPr>
          <w:rFonts w:hint="eastAsia" w:hAnsi="宋体"/>
          <w:kern w:val="2"/>
          <w:szCs w:val="30"/>
          <w:lang w:eastAsia="zh-CN"/>
        </w:rPr>
        <w:t>创新</w:t>
      </w:r>
      <w:r>
        <w:rPr>
          <w:rFonts w:hint="eastAsia" w:hAnsi="宋体"/>
          <w:kern w:val="2"/>
          <w:szCs w:val="30"/>
        </w:rPr>
        <w:t>“最佳实践”。坚持孵化培育、选树典型有序衔接，制定培育孵化指南，及时发现、总结、分享可靠性创新成果。选取产品质量稳定、管理体系健全、有意愿开展产品质量可靠性评价工作的企业为目标，积极开展可靠性创新实践培育孵化。对于应用的可靠性技术具有较强的系统性、创新性、先进性和可推广性，质量可靠性指标优异的产品，经过推荐、评定、公示后认定为产品质量可靠性</w:t>
      </w:r>
      <w:r>
        <w:rPr>
          <w:rFonts w:hint="eastAsia" w:hAnsi="宋体"/>
          <w:kern w:val="2"/>
          <w:szCs w:val="30"/>
          <w:lang w:eastAsia="zh-CN"/>
        </w:rPr>
        <w:t>创新</w:t>
      </w:r>
      <w:r>
        <w:rPr>
          <w:rFonts w:hint="eastAsia" w:hAnsi="宋体"/>
          <w:kern w:val="2"/>
          <w:szCs w:val="30"/>
        </w:rPr>
        <w:t>“最佳实践”。</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9</w:t>
      </w:r>
      <w:r>
        <w:rPr>
          <w:rFonts w:hint="default" w:hAnsi="宋体"/>
          <w:kern w:val="2"/>
          <w:szCs w:val="30"/>
          <w:lang w:val="en"/>
        </w:rPr>
        <w:t>．</w:t>
      </w:r>
      <w:r>
        <w:rPr>
          <w:rFonts w:hint="eastAsia" w:hAnsi="宋体"/>
          <w:kern w:val="2"/>
          <w:szCs w:val="30"/>
        </w:rPr>
        <w:t>建立可靠性创新技术推广应用清单。加强产品质量可靠性创新技术的分析评估，挖掘一批在可靠性创新实践中应用效果显著，并且对其他行业企业具有较强借鉴意义和推广价值的可靠性新技术、新方法或新工具，建立可靠性创新技术推广应用清单，帮助更大范围的企业应用可靠性创新技术。</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10</w:t>
      </w:r>
      <w:r>
        <w:rPr>
          <w:rFonts w:hint="default" w:hAnsi="宋体"/>
          <w:kern w:val="2"/>
          <w:szCs w:val="30"/>
          <w:lang w:val="en"/>
        </w:rPr>
        <w:t>．</w:t>
      </w:r>
      <w:r>
        <w:rPr>
          <w:rFonts w:hint="eastAsia" w:hAnsi="宋体"/>
          <w:kern w:val="2"/>
          <w:szCs w:val="30"/>
        </w:rPr>
        <w:t>举办可靠性创新挑战大赛。集成高等院校、科研院所和企业创新资源，以产业需求为导向，以提升产品质量、培育专业人才为目标，以提高可靠性领域创新研究能力和实践能力为核心，定期举办高层次、高质量、高水平的可靠性创新挑战大赛，为可靠性前沿科学问题、工程技术难题和产业技术问题提供更多解决方案。</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lang w:eastAsia="zh-CN"/>
        </w:rPr>
      </w:pPr>
      <w:r>
        <w:rPr>
          <w:rFonts w:hint="eastAsia" w:ascii="楷体_GB2312" w:hAnsi="楷体_GB2312" w:eastAsia="楷体_GB2312" w:cs="楷体_GB2312"/>
          <w:kern w:val="2"/>
          <w:szCs w:val="30"/>
          <w:lang w:eastAsia="zh-CN"/>
        </w:rPr>
        <w:t>（四）强化可靠性创新实践推广应用</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11</w:t>
      </w:r>
      <w:r>
        <w:rPr>
          <w:rFonts w:hint="default" w:hAnsi="宋体"/>
          <w:kern w:val="2"/>
          <w:szCs w:val="30"/>
          <w:lang w:val="en"/>
        </w:rPr>
        <w:t>．</w:t>
      </w:r>
      <w:r>
        <w:rPr>
          <w:rFonts w:hint="eastAsia" w:hAnsi="宋体"/>
          <w:kern w:val="2"/>
          <w:szCs w:val="30"/>
        </w:rPr>
        <w:t>召开创新大会提升凝聚力。立足放大标杆效应，凝聚各方共识，促进先进经验在各行业的推广应用，定期联合召开产品质量可靠性创新大会，对产品质量可靠性创新“最佳实践”和创新技术进行褒奖，开展国内外可靠性创新成果交流，组织政产学研用各方深入研讨开展产品质量可靠性创新实践的有效做法。</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12</w:t>
      </w:r>
      <w:r>
        <w:rPr>
          <w:rFonts w:hint="default" w:hAnsi="宋体"/>
          <w:kern w:val="2"/>
          <w:szCs w:val="30"/>
          <w:lang w:val="en"/>
        </w:rPr>
        <w:t>．</w:t>
      </w:r>
      <w:r>
        <w:rPr>
          <w:rFonts w:hint="eastAsia" w:hAnsi="宋体"/>
          <w:kern w:val="2"/>
          <w:szCs w:val="30"/>
        </w:rPr>
        <w:t>争取政策激励提升吸引力。建立健全可靠性创新实践和品牌培育、质量奖励的联动和促进机制，支持可靠性</w:t>
      </w:r>
      <w:r>
        <w:rPr>
          <w:rFonts w:hint="eastAsia" w:hAnsi="宋体"/>
          <w:kern w:val="2"/>
          <w:szCs w:val="30"/>
          <w:lang w:eastAsia="zh-CN"/>
        </w:rPr>
        <w:t>创新“</w:t>
      </w:r>
      <w:r>
        <w:rPr>
          <w:rFonts w:hint="eastAsia" w:hAnsi="宋体"/>
          <w:kern w:val="2"/>
          <w:szCs w:val="30"/>
        </w:rPr>
        <w:t>最佳实践</w:t>
      </w:r>
      <w:r>
        <w:rPr>
          <w:rFonts w:hint="eastAsia" w:hAnsi="宋体"/>
          <w:kern w:val="2"/>
          <w:szCs w:val="30"/>
          <w:lang w:eastAsia="zh-CN"/>
        </w:rPr>
        <w:t>”</w:t>
      </w:r>
      <w:r>
        <w:rPr>
          <w:rFonts w:hint="eastAsia" w:hAnsi="宋体"/>
          <w:kern w:val="2"/>
          <w:szCs w:val="30"/>
        </w:rPr>
        <w:t>产品及其企业参评知名品牌、质量奖。积极争取相关政策支持，各级政府机构使用财政性资金进行政府采购活动时，在技术、服务等指标满足采购需求的前提下，鼓励采购产品质量可靠性</w:t>
      </w:r>
      <w:r>
        <w:rPr>
          <w:rFonts w:hint="eastAsia" w:hAnsi="宋体"/>
          <w:kern w:val="2"/>
          <w:szCs w:val="30"/>
          <w:lang w:eastAsia="zh-CN"/>
        </w:rPr>
        <w:t>创新</w:t>
      </w:r>
      <w:r>
        <w:rPr>
          <w:rFonts w:hint="eastAsia" w:hAnsi="宋体"/>
          <w:kern w:val="2"/>
          <w:szCs w:val="30"/>
        </w:rPr>
        <w:t>“最佳实践”产品。</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13</w:t>
      </w:r>
      <w:r>
        <w:rPr>
          <w:rFonts w:hint="default" w:hAnsi="宋体"/>
          <w:kern w:val="2"/>
          <w:szCs w:val="30"/>
          <w:lang w:val="en"/>
        </w:rPr>
        <w:t>．</w:t>
      </w:r>
      <w:r>
        <w:rPr>
          <w:rFonts w:hint="eastAsia" w:hAnsi="宋体"/>
          <w:kern w:val="2"/>
          <w:szCs w:val="30"/>
        </w:rPr>
        <w:t>加强宣传提升社会影响力</w:t>
      </w:r>
      <w:r>
        <w:rPr>
          <w:rFonts w:hint="eastAsia" w:hAnsi="宋体"/>
          <w:kern w:val="2"/>
          <w:szCs w:val="30"/>
          <w:lang w:eastAsia="zh-CN"/>
        </w:rPr>
        <w:t>。</w:t>
      </w:r>
      <w:bookmarkStart w:id="0" w:name="_GoBack"/>
      <w:bookmarkEnd w:id="0"/>
      <w:r>
        <w:rPr>
          <w:rFonts w:hint="eastAsia" w:hAnsi="宋体"/>
          <w:kern w:val="2"/>
          <w:szCs w:val="30"/>
        </w:rPr>
        <w:t>积极总结产品质量可靠性创新实践经验和成果，充分利用网站、新媒体、传统媒体等多种渠道、多种方式加强可靠性政策解读和成果宣传。编制通俗易懂的可靠性知识读本，积极开展产品质量可靠性知识科普，提高社会知晓度和影响力，调动公众参与和支持产品质量可靠性创新实践的积极性，营造全社会共同关注</w:t>
      </w:r>
      <w:r>
        <w:rPr>
          <w:rFonts w:hint="eastAsia" w:hAnsi="宋体"/>
          <w:kern w:val="2"/>
          <w:szCs w:val="30"/>
          <w:lang w:eastAsia="zh-CN"/>
        </w:rPr>
        <w:t>产品</w:t>
      </w:r>
      <w:r>
        <w:rPr>
          <w:rFonts w:hint="eastAsia" w:hAnsi="宋体"/>
          <w:kern w:val="2"/>
          <w:szCs w:val="30"/>
        </w:rPr>
        <w:t>质量可靠性的良好氛围。</w:t>
      </w:r>
    </w:p>
    <w:p>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lang w:eastAsia="zh-CN"/>
        </w:rPr>
      </w:pPr>
      <w:r>
        <w:rPr>
          <w:rFonts w:hint="eastAsia" w:ascii="黑体" w:hAnsi="黑体" w:eastAsia="黑体" w:cs="黑体"/>
          <w:kern w:val="2"/>
          <w:szCs w:val="30"/>
          <w:lang w:eastAsia="zh-CN"/>
        </w:rPr>
        <w:t>四、保障措施</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lang w:eastAsia="zh-CN"/>
        </w:rPr>
        <w:t>（一）</w:t>
      </w:r>
      <w:r>
        <w:rPr>
          <w:rFonts w:hint="eastAsia" w:ascii="楷体_GB2312" w:hAnsi="楷体_GB2312" w:eastAsia="楷体_GB2312" w:cs="楷体_GB2312"/>
          <w:kern w:val="2"/>
          <w:szCs w:val="30"/>
        </w:rPr>
        <w:t>完善工作机制</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四直辖市各级市场监管部门要密切协作，统筹推进各项工作任务。建立可靠性创新实践工作协作机制，定期研究、协调、推进可靠性创新实践重点工作。设立协作机制秘书处，承担可靠性创新实践日常工作。组建可靠性创新实践</w:t>
      </w:r>
      <w:r>
        <w:rPr>
          <w:rFonts w:hint="eastAsia" w:hAnsi="宋体"/>
          <w:kern w:val="2"/>
          <w:szCs w:val="30"/>
          <w:lang w:eastAsia="zh-CN"/>
        </w:rPr>
        <w:t>技术工作组</w:t>
      </w:r>
      <w:r>
        <w:rPr>
          <w:rFonts w:hint="eastAsia" w:hAnsi="宋体"/>
          <w:kern w:val="2"/>
          <w:szCs w:val="30"/>
        </w:rPr>
        <w:t>，遴选相关专业技术人员，负责创新实践工作中的项目策划、方案设计、技术审查等工作，由上海市质量监督检验技术研究院负责日常管理。</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lang w:eastAsia="zh-CN"/>
        </w:rPr>
        <w:t>（二）</w:t>
      </w:r>
      <w:r>
        <w:rPr>
          <w:rFonts w:hint="eastAsia" w:ascii="楷体_GB2312" w:hAnsi="楷体_GB2312" w:eastAsia="楷体_GB2312" w:cs="楷体_GB2312"/>
          <w:kern w:val="2"/>
          <w:szCs w:val="30"/>
        </w:rPr>
        <w:t>加大支持力度</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统筹各方渠道，多措并举，积极争取财政经费等各方资源，加大对可靠性创新实践的支持力度。利用市场监管资源，广泛开展可靠性公益培训，普及可靠性基本知识，提升公众可靠性意识。在产品质量监督抽查、风险监测等工作中强化可靠性指标要求，为可靠性创新实践提供公共数据。鼓励社会力量投入可靠性课题研究、技术研发、应用推广等领域，培育可靠性创新实践新动能。</w:t>
      </w:r>
    </w:p>
    <w:p>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（三）加强基层指导</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四直辖市市场监管部门要加强对基层市场监管部门开展可靠性创新实践的跟踪指导，研究制定具体措施，开展相关业务培训和经验交流。适时组织对各地可靠性创新实践活动情况进行阶段性评估，通报表扬有特色、有亮点、有创新、可复制、可推广的做法经验，及时协调解决出现的问题。</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941" w:firstLine="624"/>
        <w:jc w:val="right"/>
        <w:textAlignment w:val="auto"/>
        <w:rPr>
          <w:rFonts w:hint="eastAsia" w:hAnsi="宋体"/>
          <w:kern w:val="2"/>
          <w:szCs w:val="30"/>
        </w:rPr>
      </w:pPr>
      <w:r>
        <w:rPr>
          <w:rFonts w:hint="eastAsia" w:hAnsi="宋体"/>
          <w:kern w:val="2"/>
          <w:szCs w:val="30"/>
        </w:rPr>
        <w:t>上海市市场监督管理局</w:t>
      </w:r>
      <w:r>
        <w:rPr>
          <w:rFonts w:hint="eastAsia" w:hAnsi="宋体"/>
          <w:kern w:val="2"/>
          <w:szCs w:val="30"/>
          <w:lang w:eastAsia="zh-CN"/>
        </w:rPr>
        <w:t>　　　</w:t>
      </w:r>
      <w:r>
        <w:rPr>
          <w:rFonts w:hint="eastAsia" w:hAnsi="宋体"/>
          <w:kern w:val="2"/>
          <w:szCs w:val="30"/>
        </w:rPr>
        <w:t>北京市市场监督管理局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96" w:lineRule="auto"/>
        <w:ind w:firstLine="624"/>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96" w:lineRule="auto"/>
        <w:ind w:firstLine="624"/>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96" w:lineRule="auto"/>
        <w:ind w:firstLine="624"/>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941" w:firstLine="624"/>
        <w:jc w:val="right"/>
        <w:textAlignment w:val="auto"/>
        <w:rPr>
          <w:rFonts w:hint="eastAsia" w:hAnsi="宋体"/>
          <w:kern w:val="2"/>
          <w:szCs w:val="30"/>
        </w:rPr>
      </w:pPr>
      <w:r>
        <w:rPr>
          <w:rFonts w:hint="eastAsia" w:hAnsi="宋体"/>
          <w:spacing w:val="-11"/>
          <w:w w:val="90"/>
          <w:kern w:val="2"/>
          <w:sz w:val="32"/>
          <w:szCs w:val="30"/>
        </w:rPr>
        <w:t>天津市市场监督管理委员会</w:t>
      </w:r>
      <w:r>
        <w:rPr>
          <w:rFonts w:hint="eastAsia" w:hAnsi="宋体"/>
          <w:kern w:val="2"/>
          <w:szCs w:val="30"/>
          <w:lang w:eastAsia="zh-CN"/>
        </w:rPr>
        <w:t>　　　</w:t>
      </w:r>
      <w:r>
        <w:rPr>
          <w:rFonts w:hint="eastAsia" w:hAnsi="宋体"/>
          <w:kern w:val="2"/>
          <w:szCs w:val="30"/>
        </w:rPr>
        <w:t>重庆市市场监督管理局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1247" w:firstLine="624"/>
        <w:jc w:val="right"/>
        <w:textAlignment w:val="auto"/>
        <w:rPr>
          <w:rFonts w:hint="eastAsia" w:hAnsi="宋体"/>
          <w:kern w:val="2"/>
          <w:szCs w:val="30"/>
        </w:rPr>
      </w:pPr>
      <w:r>
        <w:rPr>
          <w:rFonts w:hint="eastAsia" w:hAnsi="宋体"/>
          <w:kern w:val="2"/>
          <w:szCs w:val="30"/>
        </w:rPr>
        <w:t>202</w:t>
      </w:r>
      <w:r>
        <w:rPr>
          <w:rFonts w:hint="default" w:hAnsi="宋体"/>
          <w:kern w:val="2"/>
          <w:szCs w:val="30"/>
          <w:lang w:val="en"/>
        </w:rPr>
        <w:t>4</w:t>
      </w:r>
      <w:r>
        <w:rPr>
          <w:rFonts w:hint="eastAsia" w:hAnsi="宋体"/>
          <w:kern w:val="2"/>
          <w:szCs w:val="30"/>
        </w:rPr>
        <w:t>年</w:t>
      </w:r>
      <w:r>
        <w:rPr>
          <w:rFonts w:hint="eastAsia" w:hAnsi="宋体"/>
          <w:kern w:val="2"/>
          <w:szCs w:val="30"/>
          <w:lang w:val="en-US" w:eastAsia="zh-CN"/>
        </w:rPr>
        <w:t>3</w:t>
      </w:r>
      <w:r>
        <w:rPr>
          <w:rFonts w:hint="eastAsia" w:hAnsi="宋体"/>
          <w:kern w:val="2"/>
          <w:szCs w:val="30"/>
        </w:rPr>
        <w:t>月</w:t>
      </w:r>
      <w:r>
        <w:rPr>
          <w:rFonts w:hint="eastAsia" w:hAnsi="宋体"/>
          <w:kern w:val="2"/>
          <w:szCs w:val="30"/>
          <w:lang w:val="en-US" w:eastAsia="zh-CN"/>
        </w:rPr>
        <w:t>26</w:t>
      </w:r>
      <w:r>
        <w:rPr>
          <w:rFonts w:hint="eastAsia" w:hAnsi="宋体"/>
          <w:kern w:val="2"/>
          <w:szCs w:val="30"/>
        </w:rPr>
        <w:t>日</w:t>
      </w:r>
    </w:p>
    <w:p>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（此件公开发布）</w:t>
      </w: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tabs>
          <w:tab w:val="left" w:pos="790"/>
          <w:tab w:val="left" w:pos="1264"/>
        </w:tabs>
        <w:overflowPunct w:val="0"/>
        <w:adjustRightInd w:val="0"/>
        <w:snapToGrid w:val="0"/>
        <w:spacing w:line="336" w:lineRule="auto"/>
        <w:ind w:firstLine="624"/>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28" w:lineRule="auto"/>
        <w:ind w:firstLine="624"/>
        <w:textAlignment w:val="auto"/>
        <w:rPr>
          <w:rFonts w:hint="eastAsia" w:hAnsi="宋体"/>
          <w:kern w:val="2"/>
          <w:szCs w:val="30"/>
        </w:rPr>
      </w:pPr>
    </w:p>
    <w:p>
      <w:pPr>
        <w:overflowPunct w:val="0"/>
        <w:adjustRightInd w:val="0"/>
        <w:snapToGrid w:val="0"/>
        <w:spacing w:line="336" w:lineRule="auto"/>
        <w:ind w:firstLine="284"/>
        <w:rPr>
          <w:rFonts w:hint="eastAsia" w:hAnsi="宋体"/>
          <w:kern w:val="2"/>
          <w:sz w:val="28"/>
          <w:szCs w:val="28"/>
        </w:rPr>
      </w:pPr>
      <w:r>
        <w:rPr>
          <w:rFonts w:hint="eastAsia"/>
          <w:kern w:val="2"/>
          <w:sz w:val="28"/>
          <w:szCs w:val="28"/>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272415</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1.45pt;height:0pt;width:442.2pt;z-index:251667456;mso-width-relative:page;mso-height-relative:page;" filled="f" stroked="t" coordsize="21600,21600" o:gfxdata="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5/ey7VAAAABgEAAA8AAAAAAAAAAQAgAAAAOAAAAGRycy9kb3ducmV2LnhtbFBLAQIUABQA&#10;AAAIAIdO4kA4q7JI3QEAAJwDAAAOAAAAAAAAAAEAIAAAADoBAABkcnMvZTJvRG9jLnhtbFBLBQYA&#10;AAAABgAGAFkBAACJBQAAAAA=&#10;">
                <v:fill on="f" focussize="0,0"/>
                <v:stroke weight="1pt" color="#000000" joinstyle="round"/>
                <v:imagedata o:title=""/>
                <o:lock v:ext="edit" aspectratio="f"/>
                <w10:anchorlock/>
              </v:line>
            </w:pict>
          </mc:Fallback>
        </mc:AlternateContent>
      </w:r>
      <w:r>
        <w:rPr>
          <w:rFonts w:hint="eastAsia"/>
          <w:kern w:val="2"/>
          <w:sz w:val="28"/>
          <w:szCs w:val="28"/>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-40640</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2pt;height:0pt;width:442.2pt;z-index:251666432;mso-width-relative:page;mso-height-relative:page;" filled="f" stroked="t" coordsize="21600,21600" o:gfxdata="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mA/ma1QAAAAYBAAAPAAAAAAAAAAEAIAAAADgAAABkcnMvZG93bnJldi54bWxQSwECFAAU&#10;AAAACACHTuJA0BE+QN4BAACcAwAADgAAAAAAAAABACAAAAA6AQAAZHJzL2Uyb0RvYy54bWxQSwUG&#10;AAAAAAYABgBZAQAAigUAAAAA&#10;">
                <v:fill on="f" focussize="0,0"/>
                <v:stroke weight="1pt" color="#000000" joinstyle="round"/>
                <v:imagedata o:title=""/>
                <o:lock v:ext="edit" aspectratio="f"/>
                <w10:anchorlock/>
              </v:line>
            </w:pict>
          </mc:Fallback>
        </mc:AlternateContent>
      </w:r>
      <w:r>
        <w:rPr>
          <w:rFonts w:hint="eastAsia" w:hAnsi="宋体"/>
          <w:kern w:val="2"/>
          <w:sz w:val="28"/>
          <w:szCs w:val="28"/>
        </w:rPr>
        <w:t>上海市市场监督管理局办公室</w:t>
      </w:r>
      <w:r>
        <w:rPr>
          <w:rFonts w:hint="eastAsia" w:hAnsi="宋体"/>
          <w:spacing w:val="-2"/>
          <w:kern w:val="2"/>
          <w:sz w:val="28"/>
          <w:szCs w:val="28"/>
        </w:rPr>
        <w:t xml:space="preserve">               </w:t>
      </w:r>
      <w:r>
        <w:rPr>
          <w:rFonts w:hint="eastAsia" w:hAnsi="宋体"/>
          <w:kern w:val="2"/>
          <w:sz w:val="28"/>
          <w:szCs w:val="28"/>
        </w:rPr>
        <w:t>202</w:t>
      </w:r>
      <w:r>
        <w:rPr>
          <w:rFonts w:hint="default" w:hAnsi="宋体"/>
          <w:kern w:val="2"/>
          <w:sz w:val="28"/>
          <w:szCs w:val="28"/>
          <w:lang w:val="en"/>
        </w:rPr>
        <w:t>4</w:t>
      </w:r>
      <w:r>
        <w:rPr>
          <w:rFonts w:hint="eastAsia" w:hAnsi="宋体"/>
          <w:kern w:val="2"/>
          <w:sz w:val="28"/>
          <w:szCs w:val="28"/>
        </w:rPr>
        <w:t>年</w:t>
      </w:r>
      <w:r>
        <w:rPr>
          <w:rFonts w:hint="eastAsia" w:hAnsi="宋体"/>
          <w:kern w:val="2"/>
          <w:sz w:val="28"/>
          <w:szCs w:val="28"/>
          <w:lang w:val="en-US" w:eastAsia="zh-CN"/>
        </w:rPr>
        <w:t>3</w:t>
      </w:r>
      <w:r>
        <w:rPr>
          <w:rFonts w:hint="eastAsia" w:hAnsi="宋体"/>
          <w:kern w:val="2"/>
          <w:sz w:val="28"/>
          <w:szCs w:val="28"/>
        </w:rPr>
        <w:t>月</w:t>
      </w:r>
      <w:r>
        <w:rPr>
          <w:rFonts w:hint="eastAsia" w:hAnsi="宋体"/>
          <w:kern w:val="2"/>
          <w:sz w:val="28"/>
          <w:szCs w:val="28"/>
          <w:lang w:val="en-US" w:eastAsia="zh-CN"/>
        </w:rPr>
        <w:t>26</w:t>
      </w:r>
      <w:r>
        <w:rPr>
          <w:rFonts w:hint="eastAsia" w:hAnsi="宋体"/>
          <w:kern w:val="2"/>
          <w:sz w:val="28"/>
          <w:szCs w:val="28"/>
        </w:rPr>
        <w:t xml:space="preserve">日印发  </w:t>
      </w:r>
    </w:p>
    <w:sectPr>
      <w:footerReference r:id="rId5" w:type="default"/>
      <w:footerReference r:id="rId6" w:type="even"/>
      <w:pgSz w:w="11906" w:h="16838"/>
      <w:pgMar w:top="2098" w:right="1474" w:bottom="1984" w:left="1587" w:header="851" w:footer="141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both"/>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78"/>
    <w:rsid w:val="000171BA"/>
    <w:rsid w:val="000D5746"/>
    <w:rsid w:val="000E073C"/>
    <w:rsid w:val="00112A15"/>
    <w:rsid w:val="001B6B84"/>
    <w:rsid w:val="002B7477"/>
    <w:rsid w:val="002E69E4"/>
    <w:rsid w:val="003A5D63"/>
    <w:rsid w:val="003B255B"/>
    <w:rsid w:val="003C6100"/>
    <w:rsid w:val="00417102"/>
    <w:rsid w:val="004374E6"/>
    <w:rsid w:val="00453B78"/>
    <w:rsid w:val="004915BD"/>
    <w:rsid w:val="004B016C"/>
    <w:rsid w:val="005015EF"/>
    <w:rsid w:val="00571519"/>
    <w:rsid w:val="005B0EED"/>
    <w:rsid w:val="005B3F78"/>
    <w:rsid w:val="005C4BEA"/>
    <w:rsid w:val="00654CCA"/>
    <w:rsid w:val="00683A27"/>
    <w:rsid w:val="00683DE6"/>
    <w:rsid w:val="006A04CA"/>
    <w:rsid w:val="006A6C47"/>
    <w:rsid w:val="006D1A9A"/>
    <w:rsid w:val="00773CEF"/>
    <w:rsid w:val="007A6BA4"/>
    <w:rsid w:val="007B3EAE"/>
    <w:rsid w:val="007F5728"/>
    <w:rsid w:val="00812DBA"/>
    <w:rsid w:val="00922964"/>
    <w:rsid w:val="0092612A"/>
    <w:rsid w:val="009508AF"/>
    <w:rsid w:val="009561D2"/>
    <w:rsid w:val="009B3965"/>
    <w:rsid w:val="009D3132"/>
    <w:rsid w:val="009D618F"/>
    <w:rsid w:val="00A2102B"/>
    <w:rsid w:val="00A37263"/>
    <w:rsid w:val="00AB7DED"/>
    <w:rsid w:val="00AF78AB"/>
    <w:rsid w:val="00B06C55"/>
    <w:rsid w:val="00B167BA"/>
    <w:rsid w:val="00B6448F"/>
    <w:rsid w:val="00B72F7E"/>
    <w:rsid w:val="00B941AA"/>
    <w:rsid w:val="00C507F2"/>
    <w:rsid w:val="00C65E59"/>
    <w:rsid w:val="00C674B2"/>
    <w:rsid w:val="00CA0CF1"/>
    <w:rsid w:val="00CC1C18"/>
    <w:rsid w:val="00CF16E0"/>
    <w:rsid w:val="00D53F5F"/>
    <w:rsid w:val="00D8758C"/>
    <w:rsid w:val="00D921D9"/>
    <w:rsid w:val="00D9598D"/>
    <w:rsid w:val="00DE761E"/>
    <w:rsid w:val="00E04962"/>
    <w:rsid w:val="00E92861"/>
    <w:rsid w:val="00EC4054"/>
    <w:rsid w:val="00EC4F74"/>
    <w:rsid w:val="00EE52E6"/>
    <w:rsid w:val="00FE4E06"/>
    <w:rsid w:val="BEE6BF09"/>
    <w:rsid w:val="BEEF0890"/>
    <w:rsid w:val="DE3BC9EC"/>
    <w:rsid w:val="E63BB1DE"/>
    <w:rsid w:val="FADDF5CB"/>
    <w:rsid w:val="FB6BDBA1"/>
    <w:rsid w:val="FB758505"/>
    <w:rsid w:val="FDEB9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pPr>
      <w:spacing w:after="120"/>
    </w:pPr>
    <w:rPr>
      <w:rFonts w:ascii="Calibri" w:hAnsi="Calibri" w:eastAsia="宋体" w:cs="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qFormat/>
    <w:uiPriority w:val="99"/>
    <w:rPr>
      <w:rFonts w:ascii="Calibri" w:hAnsi="Calibri" w:eastAsia="宋体" w:cs="宋体"/>
      <w14:ligatures w14:val="none"/>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14:ligatures w14:val="none"/>
    </w:rPr>
  </w:style>
  <w:style w:type="character" w:customStyle="1" w:styleId="10">
    <w:name w:val="页脚 字符"/>
    <w:basedOn w:val="6"/>
    <w:link w:val="3"/>
    <w:qFormat/>
    <w:uiPriority w:val="99"/>
    <w:rPr>
      <w:sz w:val="18"/>
      <w:szCs w:val="18"/>
      <w14:ligatures w14:val="none"/>
    </w:rPr>
  </w:style>
  <w:style w:type="paragraph" w:customStyle="1" w:styleId="11">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Words>
  <Characters>3090</Characters>
  <Lines>25</Lines>
  <Paragraphs>7</Paragraphs>
  <TotalTime>6</TotalTime>
  <ScaleCrop>false</ScaleCrop>
  <LinksUpToDate>false</LinksUpToDate>
  <CharactersWithSpaces>3624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2024-01-27T11:42:00Z</dcterms:created>
  <dc:creator>Harry Gao</dc:creator>
  <cp:lastModifiedBy>scjuser</cp:lastModifiedBy>
  <cp:lastPrinted>2024-02-09T14:44:00Z</cp:lastPrinted>
  <dcterms:modified xsi:type="dcterms:W3CDTF">2024-03-29T14:14:12Z</dcterms:modified>
  <dc:title>上海市市场监督管理局 北京市市场监督管理局 天津市市场监督管理委员会 重庆市市场监督管理局关于联合开展产品质量可靠性创新实践赋能制造业高质量发展的意见</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