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1040" w:lineRule="exact"/>
        <w:ind w:left="170" w:right="17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w:t>
      </w:r>
    </w:p>
    <w:p>
      <w:pPr>
        <w:keepNext w:val="0"/>
        <w:keepLines w:val="0"/>
        <w:pageBreakBefore w:val="0"/>
        <w:widowControl w:val="0"/>
        <w:kinsoku/>
        <w:wordWrap/>
        <w:overflowPunct w:val="0"/>
        <w:topLinePunct w:val="0"/>
        <w:autoSpaceDE/>
        <w:autoSpaceDN/>
        <w:bidi w:val="0"/>
        <w:adjustRightInd w:val="0"/>
        <w:snapToGrid w:val="0"/>
        <w:spacing w:line="1040" w:lineRule="exact"/>
        <w:ind w:left="170" w:right="17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上海市文化和旅游局</w:t>
      </w:r>
    </w:p>
    <w:p>
      <w:pPr>
        <w:keepNext w:val="0"/>
        <w:keepLines w:val="0"/>
        <w:pageBreakBefore w:val="0"/>
        <w:widowControl w:val="0"/>
        <w:kinsoku/>
        <w:wordWrap/>
        <w:overflowPunct w:val="0"/>
        <w:topLinePunct w:val="0"/>
        <w:autoSpaceDE/>
        <w:autoSpaceDN/>
        <w:bidi w:val="0"/>
        <w:adjustRightInd w:val="0"/>
        <w:snapToGrid w:val="0"/>
        <w:spacing w:line="1040" w:lineRule="exact"/>
        <w:ind w:left="170" w:right="17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上海市绿化和市容管理局</w:t>
      </w:r>
    </w:p>
    <w:p>
      <w:pPr>
        <w:keepNext w:val="0"/>
        <w:keepLines w:val="0"/>
        <w:pageBreakBefore w:val="0"/>
        <w:widowControl w:val="0"/>
        <w:kinsoku/>
        <w:wordWrap/>
        <w:overflowPunct w:val="0"/>
        <w:topLinePunct w:val="0"/>
        <w:autoSpaceDE/>
        <w:autoSpaceDN/>
        <w:bidi w:val="0"/>
        <w:adjustRightInd w:val="0"/>
        <w:snapToGrid w:val="0"/>
        <w:spacing w:line="1040" w:lineRule="exact"/>
        <w:ind w:left="170" w:right="17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w:t>
      </w:r>
      <w:r>
        <w:rPr>
          <w:rFonts w:hint="eastAsia" w:ascii="方正小标宋简体" w:hAnsi="宋体" w:eastAsia="方正小标宋简体"/>
          <w:color w:val="FF0000"/>
          <w:kern w:val="2"/>
          <w:sz w:val="72"/>
          <w:szCs w:val="72"/>
          <w:lang w:eastAsia="zh-CN"/>
        </w:rPr>
        <w:t>体育</w:t>
      </w:r>
      <w:r>
        <w:rPr>
          <w:rFonts w:hint="eastAsia" w:ascii="方正小标宋简体" w:hAnsi="宋体" w:eastAsia="方正小标宋简体"/>
          <w:color w:val="FF0000"/>
          <w:kern w:val="2"/>
          <w:sz w:val="72"/>
          <w:szCs w:val="72"/>
        </w:rPr>
        <w:t>局</w:t>
      </w: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336" w:lineRule="auto"/>
        <w:jc w:val="center"/>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Apw8Qv3gEAAJoDAAAOAAAAAAAAAAEAIAAAADkBAABkcnMvZTJvRG9jLnhtbFBLBQYA&#10;AAAABgAGAFkBAACJBQ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特种</w:t>
      </w:r>
      <w:r>
        <w:rPr>
          <w:rFonts w:hint="eastAsia"/>
          <w:kern w:val="2"/>
          <w:szCs w:val="32"/>
        </w:rPr>
        <w:t>〔202</w:t>
      </w:r>
      <w:r>
        <w:rPr>
          <w:rFonts w:hint="default"/>
          <w:kern w:val="2"/>
          <w:szCs w:val="32"/>
          <w:lang w:val="en"/>
        </w:rPr>
        <w:t>4</w:t>
      </w:r>
      <w:r>
        <w:rPr>
          <w:rFonts w:hint="eastAsia"/>
          <w:kern w:val="2"/>
          <w:szCs w:val="32"/>
        </w:rPr>
        <w:t>〕</w:t>
      </w:r>
      <w:r>
        <w:rPr>
          <w:rFonts w:hint="default"/>
          <w:kern w:val="2"/>
          <w:szCs w:val="32"/>
          <w:lang w:val="en"/>
        </w:rPr>
        <w:t>167</w:t>
      </w:r>
      <w:bookmarkStart w:id="0" w:name="_GoBack"/>
      <w:bookmarkEnd w:id="0"/>
      <w:r>
        <w:rPr>
          <w:rFonts w:hint="eastAsia"/>
          <w:kern w:val="2"/>
          <w:szCs w:val="32"/>
        </w:rPr>
        <w:t>号</w:t>
      </w:r>
    </w:p>
    <w:p>
      <w:pPr>
        <w:tabs>
          <w:tab w:val="left" w:pos="790"/>
        </w:tabs>
        <w:overflowPunct w:val="0"/>
        <w:adjustRightInd w:val="0"/>
        <w:snapToGrid w:val="0"/>
        <w:spacing w:line="336" w:lineRule="auto"/>
        <w:jc w:val="center"/>
        <w:rPr>
          <w:rFonts w:hint="eastAsia"/>
          <w:kern w:val="2"/>
          <w:szCs w:val="30"/>
        </w:rPr>
      </w:pPr>
    </w:p>
    <w:p>
      <w:pPr>
        <w:tabs>
          <w:tab w:val="left" w:pos="790"/>
        </w:tabs>
        <w:overflowPunct w:val="0"/>
        <w:adjustRightInd w:val="0"/>
        <w:snapToGrid w:val="0"/>
        <w:spacing w:line="336" w:lineRule="auto"/>
        <w:jc w:val="center"/>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rPr>
        <w:t>上海市市场监督管理局　上海市文化和旅游局</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上海市绿化和市容管理局　上海市</w:t>
      </w:r>
      <w:r>
        <w:rPr>
          <w:rFonts w:hint="eastAsia" w:ascii="方正小标宋简体" w:hAnsi="宋体" w:eastAsia="方正小标宋简体"/>
          <w:kern w:val="2"/>
          <w:sz w:val="44"/>
          <w:szCs w:val="44"/>
          <w:lang w:eastAsia="zh-CN"/>
        </w:rPr>
        <w:t>体育</w:t>
      </w:r>
      <w:r>
        <w:rPr>
          <w:rFonts w:hint="eastAsia" w:ascii="方正小标宋简体" w:hAnsi="宋体" w:eastAsia="方正小标宋简体"/>
          <w:kern w:val="2"/>
          <w:sz w:val="44"/>
          <w:szCs w:val="44"/>
        </w:rPr>
        <w:t>局</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关于印发《大型游乐设施运营使用单位</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跨部门综合监管“一件事”改革</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实施方案》的通知</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rPr>
          <w:rFonts w:hint="eastAsia" w:hAnsi="宋体"/>
          <w:spacing w:val="-6"/>
          <w:kern w:val="2"/>
          <w:sz w:val="32"/>
          <w:szCs w:val="30"/>
        </w:rPr>
      </w:pPr>
      <w:r>
        <w:rPr>
          <w:rFonts w:hint="eastAsia" w:hAnsi="宋体"/>
          <w:spacing w:val="-6"/>
          <w:kern w:val="2"/>
          <w:sz w:val="32"/>
          <w:szCs w:val="30"/>
        </w:rPr>
        <w:t>各区市场监管局、文化旅游局、绿化市容局、</w:t>
      </w:r>
      <w:r>
        <w:rPr>
          <w:rFonts w:hint="eastAsia" w:hAnsi="宋体"/>
          <w:spacing w:val="-6"/>
          <w:kern w:val="2"/>
          <w:sz w:val="32"/>
          <w:szCs w:val="30"/>
          <w:lang w:eastAsia="zh-CN"/>
        </w:rPr>
        <w:t>体育</w:t>
      </w:r>
      <w:r>
        <w:rPr>
          <w:rFonts w:hint="eastAsia" w:hAnsi="宋体"/>
          <w:spacing w:val="-6"/>
          <w:kern w:val="2"/>
          <w:sz w:val="32"/>
          <w:szCs w:val="30"/>
        </w:rPr>
        <w:t>局，各有关单位：</w:t>
      </w:r>
    </w:p>
    <w:p>
      <w:pPr>
        <w:tabs>
          <w:tab w:val="left" w:pos="790"/>
          <w:tab w:val="left" w:pos="1264"/>
        </w:tabs>
        <w:overflowPunct w:val="0"/>
        <w:adjustRightInd w:val="0"/>
        <w:snapToGrid w:val="0"/>
        <w:spacing w:line="336" w:lineRule="auto"/>
        <w:ind w:firstLine="624"/>
        <w:rPr>
          <w:rFonts w:hint="eastAsia" w:hAnsi="宋体"/>
          <w:kern w:val="2"/>
          <w:szCs w:val="30"/>
          <w:lang w:eastAsia="zh-CN"/>
        </w:rPr>
      </w:pPr>
      <w:r>
        <w:rPr>
          <w:rFonts w:hint="eastAsia" w:hAnsi="宋体"/>
          <w:kern w:val="2"/>
          <w:szCs w:val="30"/>
          <w:lang w:val="en-US" w:eastAsia="zh-CN"/>
        </w:rPr>
        <w:t>现将</w:t>
      </w:r>
      <w:r>
        <w:rPr>
          <w:rFonts w:hint="eastAsia" w:hAnsi="宋体"/>
          <w:kern w:val="2"/>
          <w:szCs w:val="30"/>
        </w:rPr>
        <w:t>《大型游乐设施运营使用单位跨部门综合监管“一件事”改革实施方案》</w:t>
      </w:r>
      <w:r>
        <w:rPr>
          <w:rFonts w:hint="eastAsia" w:hAnsi="宋体"/>
          <w:kern w:val="2"/>
          <w:szCs w:val="30"/>
          <w:lang w:eastAsia="zh-CN"/>
        </w:rPr>
        <w:t>印发给你们，请认真贯彻执行。</w:t>
      </w:r>
    </w:p>
    <w:p>
      <w:pPr>
        <w:tabs>
          <w:tab w:val="left" w:pos="790"/>
          <w:tab w:val="left" w:pos="1264"/>
        </w:tabs>
        <w:overflowPunct w:val="0"/>
        <w:adjustRightInd w:val="0"/>
        <w:snapToGrid w:val="0"/>
        <w:spacing w:line="336" w:lineRule="auto"/>
        <w:ind w:firstLine="624"/>
        <w:rPr>
          <w:rFonts w:hint="eastAsia" w:hAnsi="宋体"/>
          <w:kern w:val="2"/>
          <w:szCs w:val="30"/>
          <w:lang w:eastAsia="zh-CN"/>
        </w:rPr>
      </w:pPr>
    </w:p>
    <w:p>
      <w:pPr>
        <w:tabs>
          <w:tab w:val="left" w:pos="790"/>
          <w:tab w:val="left" w:pos="1264"/>
        </w:tabs>
        <w:overflowPunct w:val="0"/>
        <w:adjustRightInd w:val="0"/>
        <w:snapToGrid w:val="0"/>
        <w:spacing w:line="336" w:lineRule="auto"/>
        <w:ind w:firstLine="624"/>
        <w:rPr>
          <w:rFonts w:hint="eastAsia" w:hAnsi="宋体"/>
          <w:kern w:val="2"/>
          <w:szCs w:val="30"/>
          <w:lang w:eastAsia="zh-CN"/>
        </w:rPr>
      </w:pPr>
    </w:p>
    <w:p>
      <w:pPr>
        <w:tabs>
          <w:tab w:val="left" w:pos="790"/>
          <w:tab w:val="left" w:pos="1264"/>
        </w:tabs>
        <w:overflowPunct w:val="0"/>
        <w:adjustRightInd w:val="0"/>
        <w:snapToGrid w:val="0"/>
        <w:spacing w:line="336" w:lineRule="auto"/>
        <w:ind w:firstLine="624"/>
        <w:rPr>
          <w:rFonts w:hint="eastAsia" w:hAnsi="宋体"/>
          <w:kern w:val="2"/>
          <w:szCs w:val="30"/>
          <w:lang w:eastAsia="zh-CN"/>
        </w:rPr>
      </w:pPr>
    </w:p>
    <w:tbl>
      <w:tblPr>
        <w:tblStyle w:val="7"/>
        <w:tblW w:w="0" w:type="auto"/>
        <w:tblInd w:w="6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45"/>
        <w:gridCol w:w="794"/>
        <w:gridCol w:w="33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45"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spacing w:val="-6"/>
                <w:kern w:val="2"/>
                <w:sz w:val="32"/>
                <w:szCs w:val="32"/>
              </w:rPr>
            </w:pPr>
            <w:r>
              <w:rPr>
                <w:rFonts w:hint="eastAsia" w:hAnsi="宋体"/>
                <w:spacing w:val="-6"/>
                <w:kern w:val="2"/>
                <w:szCs w:val="30"/>
              </w:rPr>
              <w:t>上海市市场监督管理局</w:t>
            </w:r>
          </w:p>
        </w:tc>
        <w:tc>
          <w:tcPr>
            <w:tcW w:w="794"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kern w:val="2"/>
                <w:sz w:val="32"/>
                <w:szCs w:val="32"/>
              </w:rPr>
            </w:pPr>
          </w:p>
        </w:tc>
        <w:tc>
          <w:tcPr>
            <w:tcW w:w="3345"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kern w:val="2"/>
                <w:sz w:val="32"/>
                <w:szCs w:val="32"/>
              </w:rPr>
            </w:pPr>
            <w:r>
              <w:rPr>
                <w:rFonts w:hint="eastAsia" w:hAnsi="宋体"/>
                <w:kern w:val="2"/>
                <w:szCs w:val="30"/>
              </w:rPr>
              <w:t>上海市文化和旅游局</w:t>
            </w:r>
          </w:p>
        </w:tc>
      </w:tr>
    </w:tbl>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408" w:lineRule="auto"/>
        <w:ind w:firstLine="624"/>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408" w:lineRule="auto"/>
        <w:ind w:firstLine="624"/>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408" w:lineRule="auto"/>
        <w:ind w:firstLine="624"/>
        <w:textAlignment w:val="auto"/>
        <w:rPr>
          <w:rFonts w:hint="eastAsia" w:hAnsi="宋体"/>
          <w:kern w:val="2"/>
          <w:szCs w:val="30"/>
          <w:lang w:eastAsia="zh-CN"/>
        </w:rPr>
      </w:pPr>
    </w:p>
    <w:tbl>
      <w:tblPr>
        <w:tblStyle w:val="7"/>
        <w:tblW w:w="0" w:type="auto"/>
        <w:tblInd w:w="6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45"/>
        <w:gridCol w:w="794"/>
        <w:gridCol w:w="33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45"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spacing w:val="-6"/>
                <w:w w:val="92"/>
                <w:kern w:val="2"/>
                <w:sz w:val="32"/>
                <w:szCs w:val="32"/>
              </w:rPr>
            </w:pPr>
            <w:r>
              <w:rPr>
                <w:rFonts w:hint="eastAsia" w:hAnsi="宋体"/>
                <w:spacing w:val="-6"/>
                <w:w w:val="92"/>
                <w:kern w:val="2"/>
                <w:szCs w:val="30"/>
              </w:rPr>
              <w:t>上海市绿化和市容管理局</w:t>
            </w:r>
          </w:p>
        </w:tc>
        <w:tc>
          <w:tcPr>
            <w:tcW w:w="794"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kern w:val="2"/>
                <w:sz w:val="32"/>
                <w:szCs w:val="32"/>
              </w:rPr>
            </w:pPr>
          </w:p>
        </w:tc>
        <w:tc>
          <w:tcPr>
            <w:tcW w:w="3345" w:type="dxa"/>
            <w:tcBorders>
              <w:tl2br w:val="nil"/>
              <w:tr2bl w:val="nil"/>
            </w:tcBorders>
            <w:noWrap w:val="0"/>
            <w:vAlign w:val="top"/>
          </w:tcPr>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distribute"/>
              <w:textAlignment w:val="auto"/>
              <w:rPr>
                <w:rFonts w:hint="eastAsia" w:hAnsi="宋体"/>
                <w:kern w:val="2"/>
                <w:sz w:val="32"/>
                <w:szCs w:val="32"/>
              </w:rPr>
            </w:pPr>
            <w:r>
              <w:rPr>
                <w:rFonts w:hint="eastAsia" w:hAnsi="宋体"/>
                <w:kern w:val="2"/>
                <w:szCs w:val="30"/>
              </w:rPr>
              <w:t>上海市</w:t>
            </w:r>
            <w:r>
              <w:rPr>
                <w:rFonts w:hint="eastAsia" w:hAnsi="宋体"/>
                <w:kern w:val="2"/>
                <w:szCs w:val="30"/>
                <w:lang w:eastAsia="zh-CN"/>
              </w:rPr>
              <w:t>体育</w:t>
            </w:r>
            <w:r>
              <w:rPr>
                <w:rFonts w:hint="eastAsia" w:hAnsi="宋体"/>
                <w:kern w:val="2"/>
                <w:szCs w:val="30"/>
              </w:rPr>
              <w:t>局</w:t>
            </w:r>
          </w:p>
        </w:tc>
      </w:tr>
    </w:tbl>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202</w:t>
      </w:r>
      <w:r>
        <w:rPr>
          <w:rFonts w:hint="default" w:hAnsi="宋体"/>
          <w:kern w:val="2"/>
          <w:szCs w:val="30"/>
          <w:lang w:val="en"/>
        </w:rPr>
        <w:t>4</w:t>
      </w:r>
      <w:r>
        <w:rPr>
          <w:rFonts w:hint="eastAsia" w:hAnsi="宋体"/>
          <w:kern w:val="2"/>
          <w:szCs w:val="30"/>
        </w:rPr>
        <w:t>年</w:t>
      </w:r>
      <w:r>
        <w:rPr>
          <w:rFonts w:hint="eastAsia" w:hAnsi="宋体"/>
          <w:kern w:val="2"/>
          <w:szCs w:val="30"/>
          <w:lang w:val="en-US" w:eastAsia="zh-CN"/>
        </w:rPr>
        <w:t>4</w:t>
      </w:r>
      <w:r>
        <w:rPr>
          <w:rFonts w:hint="eastAsia" w:hAnsi="宋体"/>
          <w:kern w:val="2"/>
          <w:szCs w:val="30"/>
        </w:rPr>
        <w:t>月</w:t>
      </w:r>
      <w:r>
        <w:rPr>
          <w:rFonts w:hint="eastAsia" w:hAnsi="宋体"/>
          <w:kern w:val="2"/>
          <w:szCs w:val="30"/>
          <w:lang w:val="en-US" w:eastAsia="zh-CN"/>
        </w:rPr>
        <w:t>15</w:t>
      </w:r>
      <w:r>
        <w:rPr>
          <w:rFonts w:hint="eastAsia" w:hAnsi="宋体"/>
          <w:kern w:val="2"/>
          <w:szCs w:val="30"/>
        </w:rPr>
        <w:t>日</w:t>
      </w:r>
    </w:p>
    <w:p>
      <w:pPr>
        <w:tabs>
          <w:tab w:val="left" w:pos="790"/>
          <w:tab w:val="left" w:pos="1264"/>
        </w:tabs>
        <w:overflowPunct w:val="0"/>
        <w:adjustRightInd w:val="0"/>
        <w:snapToGrid w:val="0"/>
        <w:spacing w:line="336" w:lineRule="auto"/>
        <w:ind w:firstLine="624"/>
        <w:rPr>
          <w:rFonts w:hint="eastAsia" w:hAnsi="宋体"/>
          <w:kern w:val="2"/>
          <w:szCs w:val="30"/>
          <w:lang w:eastAsia="zh-CN"/>
        </w:rPr>
      </w:pPr>
      <w:r>
        <w:rPr>
          <w:rFonts w:hint="eastAsia" w:hAnsi="宋体"/>
          <w:kern w:val="2"/>
          <w:szCs w:val="30"/>
          <w:lang w:eastAsia="zh-CN"/>
        </w:rPr>
        <w:t>（此件公开发布）</w:t>
      </w:r>
    </w:p>
    <w:p>
      <w:pPr>
        <w:tabs>
          <w:tab w:val="left" w:pos="790"/>
          <w:tab w:val="left" w:pos="1264"/>
        </w:tabs>
        <w:overflowPunct w:val="0"/>
        <w:adjustRightInd w:val="0"/>
        <w:snapToGrid w:val="0"/>
        <w:spacing w:line="336" w:lineRule="auto"/>
        <w:ind w:firstLine="624"/>
        <w:rPr>
          <w:rFonts w:hint="eastAsia" w:hAnsi="宋体"/>
          <w:kern w:val="2"/>
          <w:szCs w:val="30"/>
          <w:lang w:eastAsia="zh-CN"/>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大型游乐设施运营使用单位</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lang w:val="en-US" w:eastAsia="zh-CN"/>
        </w:rPr>
      </w:pPr>
      <w:r>
        <w:rPr>
          <w:rFonts w:hint="eastAsia" w:ascii="方正小标宋简体" w:hAnsi="宋体" w:eastAsia="方正小标宋简体"/>
          <w:kern w:val="2"/>
          <w:sz w:val="44"/>
          <w:szCs w:val="44"/>
        </w:rPr>
        <w:t>跨部门综合监管“一件事”改革实施方案</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rPr>
        <w:t>为贯彻落实《</w:t>
      </w:r>
      <w:r>
        <w:rPr>
          <w:rFonts w:hint="eastAsia" w:hAnsi="宋体"/>
          <w:kern w:val="2"/>
          <w:szCs w:val="30"/>
          <w:lang w:eastAsia="zh-CN"/>
        </w:rPr>
        <w:t>国务院办公厅关于深入推进跨部门综合监管的指导意见》（国办发〔2023〕1号）、</w:t>
      </w:r>
      <w:r>
        <w:rPr>
          <w:rFonts w:hint="eastAsia" w:hAnsi="宋体"/>
          <w:kern w:val="2"/>
          <w:szCs w:val="30"/>
        </w:rPr>
        <w:t>《上海市人民政府办公厅关于深入推进跨部</w:t>
      </w:r>
      <w:r>
        <w:rPr>
          <w:rFonts w:hint="eastAsia" w:hAnsi="宋体"/>
          <w:kern w:val="2"/>
          <w:szCs w:val="30"/>
          <w:lang w:val="en-US" w:eastAsia="zh-CN"/>
        </w:rPr>
        <w:t>门综合监管改革的通知》（沪府办字〔2023〕8号），推进</w:t>
      </w:r>
      <w:r>
        <w:rPr>
          <w:rFonts w:hint="eastAsia" w:hAnsi="宋体"/>
          <w:kern w:val="2"/>
          <w:szCs w:val="30"/>
          <w:lang w:eastAsia="zh-CN"/>
        </w:rPr>
        <w:t>大型游乐设施（含客运索道，下同）运营使用单位</w:t>
      </w:r>
      <w:r>
        <w:rPr>
          <w:rFonts w:hint="eastAsia" w:hAnsi="宋体"/>
          <w:kern w:val="2"/>
          <w:szCs w:val="30"/>
        </w:rPr>
        <w:t>跨部</w:t>
      </w:r>
      <w:r>
        <w:rPr>
          <w:rFonts w:hint="eastAsia" w:hAnsi="宋体"/>
          <w:kern w:val="2"/>
          <w:szCs w:val="30"/>
          <w:lang w:val="en-US" w:eastAsia="zh-CN"/>
        </w:rPr>
        <w:t>门</w:t>
      </w:r>
      <w:r>
        <w:rPr>
          <w:rFonts w:hint="eastAsia" w:hAnsi="宋体"/>
          <w:kern w:val="2"/>
          <w:szCs w:val="30"/>
          <w:lang w:eastAsia="zh-CN"/>
        </w:rPr>
        <w:t>综合监管“一件事”改革，</w:t>
      </w:r>
      <w:r>
        <w:rPr>
          <w:rFonts w:hint="eastAsia" w:hAnsi="宋体"/>
          <w:kern w:val="2"/>
          <w:szCs w:val="30"/>
        </w:rPr>
        <w:t>制定本</w:t>
      </w:r>
      <w:r>
        <w:rPr>
          <w:rFonts w:hint="eastAsia" w:hAnsi="宋体"/>
          <w:kern w:val="2"/>
          <w:szCs w:val="30"/>
          <w:lang w:eastAsia="zh-CN"/>
        </w:rPr>
        <w:t>实施</w:t>
      </w:r>
      <w:r>
        <w:rPr>
          <w:rFonts w:hint="eastAsia" w:hAnsi="宋体"/>
          <w:kern w:val="2"/>
          <w:szCs w:val="30"/>
        </w:rPr>
        <w:t>方案。</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一、工作目标</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 w:eastAsia="zh-CN"/>
        </w:rPr>
        <w:t>以“监管对象全覆盖、监管内容全要素、监管流程全闭环、监管执法全协同、监管数据全共享、监管结果全公开”为目标，按照“三管三必须”的原则，</w:t>
      </w:r>
      <w:r>
        <w:rPr>
          <w:rFonts w:hint="eastAsia" w:hAnsi="宋体"/>
          <w:kern w:val="2"/>
          <w:szCs w:val="30"/>
        </w:rPr>
        <w:t>统筹整合</w:t>
      </w:r>
      <w:r>
        <w:rPr>
          <w:rFonts w:hint="eastAsia" w:hAnsi="宋体"/>
          <w:kern w:val="2"/>
          <w:szCs w:val="30"/>
          <w:lang w:eastAsia="zh-CN"/>
        </w:rPr>
        <w:t>市场监管、文化旅游、绿化市容、体育等部门监管资源，全面建立大型游乐设施运营使用单位综合监管机制，</w:t>
      </w:r>
      <w:r>
        <w:rPr>
          <w:rFonts w:hint="eastAsia" w:hAnsi="宋体"/>
          <w:kern w:val="2"/>
          <w:szCs w:val="30"/>
          <w:lang w:val="en-US" w:eastAsia="zh-CN"/>
        </w:rPr>
        <w:t>形成跨部门监管合力，解决多头执法、重复检查问题，营造更优营商环境。积极探索大型游乐设施智慧监管、信用监管模式，加强现代科技应用，提高风险预警能力，强化信息共享互通，实现信用联合奖惩，全面提升事中事后监管效能。</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二、工作任务</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（一）梳理综合监管清单</w:t>
      </w:r>
    </w:p>
    <w:p>
      <w:pPr>
        <w:tabs>
          <w:tab w:val="left" w:pos="790"/>
          <w:tab w:val="left" w:pos="1264"/>
        </w:tabs>
        <w:overflowPunct w:val="0"/>
        <w:adjustRightInd w:val="0"/>
        <w:snapToGrid w:val="0"/>
        <w:spacing w:line="336" w:lineRule="auto"/>
        <w:ind w:firstLine="624"/>
        <w:jc w:val="both"/>
        <w:rPr>
          <w:rFonts w:hint="default" w:hAnsi="宋体"/>
          <w:kern w:val="2"/>
          <w:szCs w:val="30"/>
          <w:lang w:val="en" w:eastAsia="zh-CN"/>
        </w:rPr>
      </w:pPr>
      <w:r>
        <w:rPr>
          <w:rFonts w:hint="default" w:hAnsi="宋体"/>
          <w:kern w:val="2"/>
          <w:szCs w:val="30"/>
          <w:lang w:val="en" w:eastAsia="zh-CN"/>
        </w:rPr>
        <w:t>梳理本市</w:t>
      </w:r>
      <w:r>
        <w:rPr>
          <w:rFonts w:hint="eastAsia" w:hAnsi="宋体"/>
          <w:kern w:val="2"/>
          <w:szCs w:val="30"/>
          <w:lang w:val="en" w:eastAsia="zh-CN"/>
        </w:rPr>
        <w:t>大型游乐设施及其风险点清单，构建跨部门联合监测预警模型，提高风险隐患发现、处置能力。建立大型游乐设施</w:t>
      </w:r>
      <w:r>
        <w:rPr>
          <w:rFonts w:hint="default" w:hAnsi="宋体"/>
          <w:kern w:val="2"/>
          <w:szCs w:val="30"/>
          <w:lang w:val="en" w:eastAsia="zh-CN"/>
        </w:rPr>
        <w:t>运营使用单位</w:t>
      </w:r>
      <w:r>
        <w:rPr>
          <w:rFonts w:hint="eastAsia" w:hAnsi="宋体"/>
          <w:kern w:val="2"/>
          <w:szCs w:val="30"/>
          <w:lang w:val="en" w:eastAsia="zh-CN"/>
        </w:rPr>
        <w:t>重点监管名录，并依据风险隐患情况实施动态管理。根据行业分类，标注大型游乐设施</w:t>
      </w:r>
      <w:r>
        <w:rPr>
          <w:rFonts w:hint="default" w:hAnsi="宋体"/>
          <w:kern w:val="2"/>
          <w:szCs w:val="30"/>
          <w:lang w:val="en" w:eastAsia="zh-CN"/>
        </w:rPr>
        <w:t>运营使用单位</w:t>
      </w:r>
      <w:r>
        <w:rPr>
          <w:rFonts w:hint="eastAsia" w:hAnsi="宋体"/>
          <w:kern w:val="2"/>
          <w:szCs w:val="30"/>
          <w:lang w:val="en" w:eastAsia="zh-CN"/>
        </w:rPr>
        <w:t>的行业类型，明确综合监管范围。</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（二）明确监管内容要素</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US" w:eastAsia="zh-CN"/>
        </w:rPr>
        <w:t>对大型游乐设施运营使用单位相关检查事项进行全面梳理，明确跨部门综合监管的检查项目、检查内容、检查要求、处置措施、依据出处等，大力精简多部门重复检查事项，形成统一的跨部门综合检查单。</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（三）出台综合监管规则</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US" w:eastAsia="zh-CN"/>
        </w:rPr>
        <w:t>制定出台大型游乐设施运营使用单位跨部门综合监管规则，加强部门政策协同，再造执法检查流程，落实监管闭环管理，对于两个以上部门对同一监管对象实施不同行政检查且可以同时开展的，按照“一次检查、联合体检”的原则，实行联合检查。建立综合监管“一业一册”告知制度，制定大型游乐设施运营使用单位一册合规经营指南，一次性告知市场主体合规经营要求。</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（四）建立信息共享机制</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US" w:eastAsia="zh-CN"/>
        </w:rPr>
        <w:t>充分发挥市、区两级特种设备联席会议（特种设备安全专业委员会）的平台作用，建立健全跨部门联动会商、情况通报等工作机制。加快推进各部门业务系统对接，实现监管信息共享互通，着力打通数据壁垒，加强大数据分析挖掘，形成社会多元共治。依托特种设备智慧监管和数字化转型工作，打造大型游乐设施运营使用单位跨部门综合监管应用场景，支撑综合监管“一件事”改革。</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（五）创新智慧监管模式</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US" w:eastAsia="zh-CN"/>
        </w:rPr>
        <w:t>积极应用物联感知、大数据、人工智能等新兴技术，在大型游乐设施领域推广加装传感器和视频监控装置，有效归集设备运行和安全管理相关数据。推出“特种设备码”，通过逐台设备贴码绑定，实现使用管理、维护保养、监督检查等多维度的“一码通识”，打通大型游乐设施数据链条。</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 w:eastAsia="zh-CN"/>
        </w:rPr>
      </w:pPr>
      <w:r>
        <w:rPr>
          <w:rFonts w:hint="eastAsia" w:ascii="楷体_GB2312" w:hAnsi="楷体_GB2312" w:eastAsia="楷体_GB2312" w:cs="楷体_GB2312"/>
          <w:kern w:val="2"/>
          <w:szCs w:val="30"/>
          <w:lang w:val="en-US" w:eastAsia="zh-CN"/>
        </w:rPr>
        <w:t>（六）探索信用监管模式</w:t>
      </w:r>
    </w:p>
    <w:p>
      <w:pPr>
        <w:tabs>
          <w:tab w:val="left" w:pos="790"/>
          <w:tab w:val="left" w:pos="1264"/>
        </w:tabs>
        <w:overflowPunct w:val="0"/>
        <w:adjustRightInd w:val="0"/>
        <w:snapToGrid w:val="0"/>
        <w:spacing w:line="336" w:lineRule="auto"/>
        <w:ind w:firstLine="624"/>
        <w:jc w:val="both"/>
        <w:rPr>
          <w:rFonts w:hint="eastAsia" w:hAnsi="宋体"/>
          <w:kern w:val="2"/>
          <w:szCs w:val="30"/>
          <w:lang w:eastAsia="zh-CN"/>
        </w:rPr>
      </w:pPr>
      <w:r>
        <w:rPr>
          <w:rFonts w:hint="eastAsia" w:hAnsi="宋体"/>
          <w:kern w:val="2"/>
          <w:szCs w:val="30"/>
          <w:lang w:eastAsia="zh-CN"/>
        </w:rPr>
        <w:t>通过</w:t>
      </w:r>
      <w:r>
        <w:rPr>
          <w:rFonts w:hint="eastAsia" w:hAnsi="宋体"/>
          <w:kern w:val="2"/>
          <w:szCs w:val="30"/>
          <w:lang w:val="en" w:eastAsia="zh-CN"/>
        </w:rPr>
        <w:t>行政许可、日常监管、检验检测、投诉举报、执法办案等关键环节记录市场主体信用行为，全面归集大型游乐设施运营使用单位各类信用信息，建立大型游乐设施运营使用单位信用评价体系。加强信用联合惩戒，推进信用评价结果应用，探索差异化、精准化的信用监管模式，定期向社会发布</w:t>
      </w:r>
      <w:r>
        <w:rPr>
          <w:rFonts w:hint="eastAsia" w:hAnsi="宋体"/>
          <w:kern w:val="2"/>
          <w:szCs w:val="30"/>
        </w:rPr>
        <w:t>信用评价结果</w:t>
      </w:r>
      <w:r>
        <w:rPr>
          <w:rFonts w:hint="eastAsia" w:hAnsi="宋体"/>
          <w:kern w:val="2"/>
          <w:szCs w:val="30"/>
          <w:lang w:eastAsia="zh-CN"/>
        </w:rPr>
        <w:t>，</w:t>
      </w:r>
      <w:r>
        <w:rPr>
          <w:rFonts w:hint="eastAsia" w:hAnsi="宋体"/>
          <w:kern w:val="2"/>
          <w:szCs w:val="30"/>
          <w:lang w:val="en" w:eastAsia="zh-CN"/>
        </w:rPr>
        <w:t>依法实施守信激励和失信惩戒。</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三、进度安排</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（一）试点探索阶段（2024年）</w:t>
      </w:r>
    </w:p>
    <w:p>
      <w:pPr>
        <w:tabs>
          <w:tab w:val="left" w:pos="790"/>
          <w:tab w:val="left" w:pos="1264"/>
        </w:tabs>
        <w:overflowPunct w:val="0"/>
        <w:adjustRightInd w:val="0"/>
        <w:snapToGrid w:val="0"/>
        <w:spacing w:line="336" w:lineRule="auto"/>
        <w:ind w:firstLine="624"/>
        <w:jc w:val="both"/>
        <w:rPr>
          <w:rFonts w:hint="eastAsia" w:hAnsi="宋体"/>
          <w:kern w:val="2"/>
          <w:szCs w:val="30"/>
          <w:lang w:val="en-US" w:eastAsia="zh-CN"/>
        </w:rPr>
      </w:pPr>
      <w:r>
        <w:rPr>
          <w:rFonts w:hint="eastAsia" w:hAnsi="宋体"/>
          <w:kern w:val="2"/>
          <w:szCs w:val="30"/>
          <w:lang w:val="en-US" w:eastAsia="zh-CN"/>
        </w:rPr>
        <w:t>先行在浦东新区、松江区开展试点，市市场监管局、市文化旅游局、市绿化市容局、市体育局积极指导、推动试点区整合监管资源，严格按照规范要求开展大型游乐设施运营使用单位跨部门综合监管，形成可复制、可推广的工作机制。试点区由区市场监管局牵头，探索制定跨部门综合监管规则，形成统一的综合检查单，出台一册合规经营指南，尝试运用“特种设备码”开展智慧监管，打造辖区大型游乐设施综合监管示范点位，并在2024年12月底前总结试点经验和成果。相关区文化旅游、体育、绿化市容等部门要依照法律法规、“三定”规定和权责清单，梳理相关事项内容，填写《大型游乐设施运营使用单位检查事项清单》（见附件1）和《大型游乐设施运营使用单位合规经营指南清单》（见附件2），在2024年6月底前报送区市场监管局。</w:t>
      </w:r>
    </w:p>
    <w:p>
      <w:pPr>
        <w:tabs>
          <w:tab w:val="left" w:pos="790"/>
          <w:tab w:val="left" w:pos="1264"/>
        </w:tabs>
        <w:overflowPunct w:val="0"/>
        <w:adjustRightInd w:val="0"/>
        <w:snapToGrid w:val="0"/>
        <w:spacing w:line="336" w:lineRule="auto"/>
        <w:ind w:firstLine="624"/>
        <w:jc w:val="both"/>
        <w:rPr>
          <w:rFonts w:hint="eastAsia" w:ascii="楷体_GB2312" w:hAnsi="楷体_GB2312" w:eastAsia="楷体_GB2312" w:cs="楷体_GB2312"/>
          <w:kern w:val="2"/>
          <w:szCs w:val="30"/>
          <w:lang w:val="en-US" w:eastAsia="zh-CN"/>
        </w:rPr>
      </w:pPr>
      <w:r>
        <w:rPr>
          <w:rFonts w:hint="eastAsia" w:ascii="楷体_GB2312" w:hAnsi="楷体_GB2312" w:eastAsia="楷体_GB2312" w:cs="楷体_GB2312"/>
          <w:kern w:val="2"/>
          <w:szCs w:val="30"/>
          <w:lang w:val="en-US" w:eastAsia="zh-CN"/>
        </w:rPr>
        <w:t>（二）全面推广阶段（2025年）</w:t>
      </w:r>
    </w:p>
    <w:p>
      <w:pPr>
        <w:tabs>
          <w:tab w:val="left" w:pos="790"/>
          <w:tab w:val="left" w:pos="1264"/>
        </w:tabs>
        <w:overflowPunct w:val="0"/>
        <w:adjustRightInd w:val="0"/>
        <w:snapToGrid w:val="0"/>
        <w:spacing w:line="336" w:lineRule="auto"/>
        <w:ind w:firstLine="624"/>
        <w:jc w:val="both"/>
        <w:rPr>
          <w:rFonts w:hint="default" w:hAnsi="宋体"/>
          <w:kern w:val="2"/>
          <w:szCs w:val="30"/>
          <w:lang w:val="en" w:eastAsia="zh-CN"/>
        </w:rPr>
      </w:pPr>
      <w:r>
        <w:rPr>
          <w:rFonts w:hint="eastAsia" w:hAnsi="宋体"/>
          <w:kern w:val="2"/>
          <w:szCs w:val="30"/>
          <w:lang w:val="en-US" w:eastAsia="zh-CN"/>
        </w:rPr>
        <w:t>总结浦东新区、松江区试点经验，在全市复制推广，由市市场监管局牵头建立本市大型游乐设施运营使用单位重点监管名录，理顺专业监管和行业监管的职责边界，制定跨部门综合监管规则，形成统一的综合检查单，出台一册合规经营指南，并开发大型游乐设施运营使用单位跨部门综合监管应用场景，全面推广“特种设备码”。市文化旅游局、市绿化市容局、市体育局要积极完成信息化系统数据对接，发挥行业主管部门优势，健全信用奖惩机制，推广一册合规经营指南，鼓励行业企业及相关单位应用新兴技术，提高设备运行水平和安全管理能级。逐步构建本市大型游乐设施运营使用单位跨部门综合监管“一件事”工作机制。</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附件：1．</w:t>
      </w:r>
      <w:r>
        <w:rPr>
          <w:rFonts w:hint="eastAsia" w:hAnsi="宋体"/>
          <w:kern w:val="2"/>
          <w:szCs w:val="30"/>
          <w:lang w:val="en-US" w:eastAsia="zh-CN"/>
        </w:rPr>
        <w:t>大型游乐设施运营使用单位检查事项清单</w:t>
      </w:r>
    </w:p>
    <w:p>
      <w:pPr>
        <w:keepNext w:val="0"/>
        <w:keepLines w:val="0"/>
        <w:pageBreakBefore w:val="0"/>
        <w:widowControl w:val="0"/>
        <w:tabs>
          <w:tab w:val="left" w:pos="790"/>
          <w:tab w:val="left" w:pos="1264"/>
          <w:tab w:val="left" w:pos="2205"/>
        </w:tabs>
        <w:kinsoku/>
        <w:wordWrap/>
        <w:overflowPunct w:val="0"/>
        <w:topLinePunct w:val="0"/>
        <w:autoSpaceDE/>
        <w:autoSpaceDN/>
        <w:bidi w:val="0"/>
        <w:adjustRightInd w:val="0"/>
        <w:snapToGrid w:val="0"/>
        <w:spacing w:line="336" w:lineRule="auto"/>
        <w:ind w:firstLine="1576"/>
        <w:textAlignment w:val="auto"/>
        <w:rPr>
          <w:rFonts w:hint="eastAsia" w:hAnsi="宋体"/>
          <w:kern w:val="2"/>
          <w:szCs w:val="30"/>
        </w:rPr>
      </w:pPr>
      <w:r>
        <w:rPr>
          <w:rFonts w:hint="eastAsia" w:hAnsi="宋体"/>
          <w:kern w:val="2"/>
          <w:szCs w:val="30"/>
        </w:rPr>
        <w:t>2．</w:t>
      </w:r>
      <w:r>
        <w:rPr>
          <w:rFonts w:hint="eastAsia" w:hAnsi="宋体"/>
          <w:kern w:val="2"/>
          <w:szCs w:val="30"/>
          <w:lang w:val="en-US" w:eastAsia="zh-CN"/>
        </w:rPr>
        <w:t>大型游乐设施运营使用单位合规经营指南清单</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rPr>
          <w:rFonts w:hint="eastAsia" w:ascii="黑体" w:eastAsia="黑体"/>
          <w:kern w:val="2"/>
          <w:szCs w:val="30"/>
        </w:rPr>
        <w:sectPr>
          <w:footerReference r:id="rId3" w:type="default"/>
          <w:footerReference r:id="rId4" w:type="even"/>
          <w:pgSz w:w="11906" w:h="16838"/>
          <w:pgMar w:top="2098" w:right="1474" w:bottom="1984" w:left="1588" w:header="851" w:footer="1417" w:gutter="0"/>
          <w:pgBorders>
            <w:top w:val="none" w:sz="0" w:space="0"/>
            <w:left w:val="none" w:sz="0" w:space="0"/>
            <w:bottom w:val="none" w:sz="0" w:space="0"/>
            <w:right w:val="none" w:sz="0" w:space="0"/>
          </w:pgBorders>
          <w:cols w:space="0" w:num="1"/>
          <w:rtlGutter w:val="0"/>
          <w:docGrid w:type="linesAndChars" w:linePitch="579" w:charSpace="-849"/>
        </w:sectPr>
      </w:pP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1</w:t>
      </w:r>
    </w:p>
    <w:p>
      <w:pPr>
        <w:overflowPunct w:val="0"/>
        <w:adjustRightInd w:val="0"/>
        <w:snapToGrid w:val="0"/>
        <w:spacing w:line="336" w:lineRule="auto"/>
        <w:rPr>
          <w:rFonts w:hint="eastAsia"/>
          <w:kern w:val="2"/>
          <w:szCs w:val="30"/>
        </w:rPr>
      </w:pPr>
    </w:p>
    <w:p>
      <w:pPr>
        <w:tabs>
          <w:tab w:val="left" w:pos="790"/>
        </w:tabs>
        <w:overflowPunct w:val="0"/>
        <w:adjustRightInd w:val="0"/>
        <w:snapToGrid w:val="0"/>
        <w:jc w:val="center"/>
        <w:rPr>
          <w:rFonts w:hint="eastAsia" w:ascii="方正小标宋简体" w:hAnsi="宋体" w:eastAsia="方正小标宋简体"/>
          <w:kern w:val="2"/>
          <w:sz w:val="44"/>
          <w:szCs w:val="44"/>
          <w:lang w:val="en-US" w:eastAsia="zh-CN"/>
        </w:rPr>
      </w:pPr>
      <w:r>
        <w:rPr>
          <w:rFonts w:hint="eastAsia" w:ascii="方正小标宋简体" w:hAnsi="宋体" w:eastAsia="方正小标宋简体"/>
          <w:kern w:val="2"/>
          <w:sz w:val="44"/>
          <w:szCs w:val="44"/>
          <w:lang w:val="en-US" w:eastAsia="zh-CN"/>
        </w:rPr>
        <w:t>大型游乐设施运营使用单位检查事项清单</w:t>
      </w:r>
    </w:p>
    <w:p>
      <w:pPr>
        <w:overflowPunct w:val="0"/>
        <w:adjustRightInd w:val="0"/>
        <w:snapToGrid w:val="0"/>
        <w:spacing w:line="336" w:lineRule="auto"/>
        <w:rPr>
          <w:rFonts w:hint="eastAsia"/>
          <w:kern w:val="2"/>
          <w:szCs w:val="30"/>
          <w:lang w:val="en-US" w:eastAsia="zh-CN"/>
        </w:rPr>
      </w:pPr>
    </w:p>
    <w:tbl>
      <w:tblPr>
        <w:tblStyle w:val="7"/>
        <w:tblW w:w="13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108" w:type="dxa"/>
          <w:bottom w:w="17" w:type="dxa"/>
          <w:right w:w="108" w:type="dxa"/>
        </w:tblCellMar>
      </w:tblPr>
      <w:tblGrid>
        <w:gridCol w:w="736"/>
        <w:gridCol w:w="1886"/>
        <w:gridCol w:w="1755"/>
        <w:gridCol w:w="3661"/>
        <w:gridCol w:w="2912"/>
        <w:gridCol w:w="2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397"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eastAsia="zh-CN"/>
              </w:rPr>
            </w:pPr>
            <w:r>
              <w:rPr>
                <w:rFonts w:hint="eastAsia" w:ascii="黑体" w:hAnsi="黑体" w:eastAsia="黑体" w:cs="黑体"/>
                <w:kern w:val="2"/>
                <w:sz w:val="24"/>
                <w:szCs w:val="24"/>
              </w:rPr>
              <w:t>序</w:t>
            </w:r>
            <w:r>
              <w:rPr>
                <w:rFonts w:hint="eastAsia" w:ascii="黑体" w:hAnsi="黑体" w:eastAsia="黑体" w:cs="黑体"/>
                <w:kern w:val="2"/>
                <w:sz w:val="24"/>
                <w:szCs w:val="24"/>
                <w:lang w:eastAsia="zh-CN"/>
              </w:rPr>
              <w:t>号</w:t>
            </w: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eastAsia="zh-CN"/>
              </w:rPr>
            </w:pPr>
            <w:r>
              <w:rPr>
                <w:rFonts w:hint="eastAsia" w:ascii="黑体" w:hAnsi="黑体" w:eastAsia="黑体" w:cs="黑体"/>
                <w:kern w:val="2"/>
                <w:sz w:val="24"/>
                <w:szCs w:val="24"/>
                <w:lang w:eastAsia="zh-CN"/>
              </w:rPr>
              <w:t>检查对象</w:t>
            </w: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rPr>
            </w:pPr>
            <w:r>
              <w:rPr>
                <w:rFonts w:hint="eastAsia" w:ascii="黑体" w:hAnsi="黑体" w:eastAsia="黑体" w:cs="黑体"/>
                <w:kern w:val="2"/>
                <w:sz w:val="24"/>
                <w:szCs w:val="24"/>
                <w:lang w:eastAsia="zh-CN"/>
              </w:rPr>
              <w:t>检查项目</w:t>
            </w: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eastAsia="zh-CN"/>
              </w:rPr>
            </w:pPr>
            <w:r>
              <w:rPr>
                <w:rFonts w:hint="eastAsia" w:ascii="黑体" w:hAnsi="黑体" w:eastAsia="黑体" w:cs="黑体"/>
                <w:kern w:val="2"/>
                <w:sz w:val="24"/>
                <w:szCs w:val="24"/>
                <w:lang w:eastAsia="zh-CN"/>
              </w:rPr>
              <w:t>检查内容</w:t>
            </w: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eastAsia="zh-CN"/>
              </w:rPr>
            </w:pPr>
            <w:r>
              <w:rPr>
                <w:rFonts w:hint="eastAsia" w:ascii="黑体" w:hAnsi="黑体" w:eastAsia="黑体" w:cs="黑体"/>
                <w:kern w:val="2"/>
                <w:sz w:val="24"/>
                <w:szCs w:val="24"/>
                <w:lang w:eastAsia="zh-CN"/>
              </w:rPr>
              <w:t>处置措施</w:t>
            </w: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eastAsia="zh-CN"/>
              </w:rPr>
            </w:pPr>
            <w:r>
              <w:rPr>
                <w:rFonts w:hint="eastAsia" w:ascii="黑体" w:hAnsi="黑体" w:eastAsia="黑体" w:cs="黑体"/>
                <w:kern w:val="2"/>
                <w:sz w:val="24"/>
                <w:szCs w:val="24"/>
                <w:lang w:eastAsia="zh-CN"/>
              </w:rPr>
              <w:t>出处依据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2" w:hRule="atLeast"/>
          <w:jc w:val="center"/>
        </w:trPr>
        <w:tc>
          <w:tcPr>
            <w:tcW w:w="73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default"/>
                <w:kern w:val="2"/>
                <w:sz w:val="24"/>
                <w:szCs w:val="24"/>
                <w:lang w:val="en-US" w:eastAsia="zh-CN"/>
              </w:rPr>
            </w:pPr>
          </w:p>
        </w:tc>
        <w:tc>
          <w:tcPr>
            <w:tcW w:w="188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175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3661"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91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val="en-US" w:eastAsia="zh-CN"/>
              </w:rPr>
            </w:pPr>
          </w:p>
        </w:tc>
        <w:tc>
          <w:tcPr>
            <w:tcW w:w="2656"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kern w:val="2"/>
                <w:sz w:val="24"/>
                <w:szCs w:val="24"/>
                <w:lang w:eastAsia="zh-CN"/>
              </w:rPr>
            </w:pPr>
          </w:p>
        </w:tc>
      </w:tr>
    </w:tbl>
    <w:p>
      <w:pPr>
        <w:keepNext w:val="0"/>
        <w:keepLines w:val="0"/>
        <w:pageBreakBefore w:val="0"/>
        <w:widowControl w:val="0"/>
        <w:kinsoku/>
        <w:wordWrap/>
        <w:overflowPunct w:val="0"/>
        <w:topLinePunct w:val="0"/>
        <w:autoSpaceDE/>
        <w:autoSpaceDN/>
        <w:bidi w:val="0"/>
        <w:adjustRightInd w:val="0"/>
        <w:snapToGrid w:val="0"/>
        <w:spacing w:line="240" w:lineRule="auto"/>
        <w:jc w:val="both"/>
        <w:textAlignment w:val="auto"/>
        <w:rPr>
          <w:rFonts w:hint="eastAsia"/>
          <w:kern w:val="2"/>
          <w:sz w:val="24"/>
          <w:szCs w:val="24"/>
          <w:lang w:val="en-US" w:eastAsia="zh-CN"/>
        </w:rPr>
      </w:pP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2</w:t>
      </w:r>
    </w:p>
    <w:p>
      <w:pPr>
        <w:overflowPunct w:val="0"/>
        <w:adjustRightInd w:val="0"/>
        <w:snapToGrid w:val="0"/>
        <w:spacing w:line="336" w:lineRule="auto"/>
        <w:rPr>
          <w:rFonts w:hint="eastAsia"/>
          <w:kern w:val="2"/>
          <w:szCs w:val="30"/>
        </w:rPr>
      </w:pPr>
    </w:p>
    <w:p>
      <w:pPr>
        <w:tabs>
          <w:tab w:val="left" w:pos="790"/>
        </w:tabs>
        <w:overflowPunct w:val="0"/>
        <w:adjustRightInd w:val="0"/>
        <w:snapToGrid w:val="0"/>
        <w:jc w:val="center"/>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大型游乐设施运营使用单位合规经营指南清单</w:t>
      </w:r>
    </w:p>
    <w:p>
      <w:pPr>
        <w:overflowPunct w:val="0"/>
        <w:adjustRightInd w:val="0"/>
        <w:snapToGrid w:val="0"/>
        <w:spacing w:line="336" w:lineRule="auto"/>
        <w:rPr>
          <w:rFonts w:hint="eastAsia"/>
          <w:kern w:val="2"/>
          <w:szCs w:val="30"/>
          <w:lang w:eastAsia="zh-CN"/>
        </w:rPr>
      </w:pPr>
    </w:p>
    <w:tbl>
      <w:tblPr>
        <w:tblStyle w:val="7"/>
        <w:tblW w:w="13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108" w:type="dxa"/>
          <w:bottom w:w="17" w:type="dxa"/>
          <w:right w:w="108" w:type="dxa"/>
        </w:tblCellMar>
      </w:tblPr>
      <w:tblGrid>
        <w:gridCol w:w="1082"/>
        <w:gridCol w:w="1897"/>
        <w:gridCol w:w="2025"/>
        <w:gridCol w:w="5548"/>
        <w:gridCol w:w="3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397"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val="en-US" w:eastAsia="zh-CN"/>
              </w:rPr>
            </w:pPr>
            <w:r>
              <w:rPr>
                <w:rFonts w:hint="eastAsia" w:ascii="黑体" w:hAnsi="黑体" w:eastAsia="黑体" w:cs="黑体"/>
                <w:kern w:val="2"/>
                <w:sz w:val="24"/>
                <w:szCs w:val="24"/>
                <w:lang w:val="en-US" w:eastAsia="zh-CN"/>
              </w:rPr>
              <w:t>序号</w:t>
            </w: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val="en-US" w:eastAsia="zh-CN"/>
              </w:rPr>
            </w:pPr>
            <w:r>
              <w:rPr>
                <w:rFonts w:hint="eastAsia" w:ascii="黑体" w:hAnsi="黑体" w:eastAsia="黑体" w:cs="黑体"/>
                <w:kern w:val="2"/>
                <w:sz w:val="24"/>
                <w:szCs w:val="24"/>
                <w:lang w:val="en-US" w:eastAsia="zh-CN"/>
              </w:rPr>
              <w:t>一级事项</w:t>
            </w: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val="en-US" w:eastAsia="zh-CN"/>
              </w:rPr>
            </w:pPr>
            <w:r>
              <w:rPr>
                <w:rFonts w:hint="eastAsia" w:ascii="黑体" w:hAnsi="黑体" w:eastAsia="黑体" w:cs="黑体"/>
                <w:kern w:val="2"/>
                <w:sz w:val="24"/>
                <w:szCs w:val="24"/>
                <w:lang w:val="en-US" w:eastAsia="zh-CN"/>
              </w:rPr>
              <w:t>二级事项</w:t>
            </w: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val="en-US" w:eastAsia="zh-CN"/>
              </w:rPr>
            </w:pPr>
            <w:r>
              <w:rPr>
                <w:rFonts w:hint="eastAsia" w:ascii="黑体" w:hAnsi="黑体" w:eastAsia="黑体" w:cs="黑体"/>
                <w:kern w:val="2"/>
                <w:sz w:val="24"/>
                <w:szCs w:val="24"/>
                <w:lang w:val="en-US" w:eastAsia="zh-CN"/>
              </w:rPr>
              <w:t>法律法规要求</w:t>
            </w: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黑体" w:hAnsi="黑体" w:eastAsia="黑体" w:cs="黑体"/>
                <w:kern w:val="2"/>
                <w:sz w:val="24"/>
                <w:szCs w:val="24"/>
                <w:lang w:val="en-US" w:eastAsia="zh-CN"/>
              </w:rPr>
            </w:pPr>
            <w:r>
              <w:rPr>
                <w:rFonts w:hint="eastAsia" w:ascii="黑体" w:hAnsi="黑体" w:eastAsia="黑体" w:cs="黑体"/>
                <w:kern w:val="2"/>
                <w:sz w:val="24"/>
                <w:szCs w:val="24"/>
                <w:lang w:val="en-US" w:eastAsia="zh-CN"/>
              </w:rPr>
              <w:t>出处依据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cantSplit/>
          <w:trHeight w:val="510" w:hRule="atLeast"/>
          <w:jc w:val="center"/>
        </w:trPr>
        <w:tc>
          <w:tcPr>
            <w:tcW w:w="1122"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197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2109"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579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c>
          <w:tcPr>
            <w:tcW w:w="3185" w:type="dxa"/>
            <w:tcBorders>
              <w:tl2br w:val="nil"/>
              <w:tr2bl w:val="nil"/>
            </w:tcBorders>
            <w:noWrap w:val="0"/>
            <w:vAlign w:val="center"/>
          </w:tcPr>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仿宋_GB2312" w:hAnsi="仿宋_GB2312" w:eastAsia="仿宋_GB2312" w:cs="仿宋_GB2312"/>
                <w:kern w:val="2"/>
                <w:sz w:val="24"/>
                <w:szCs w:val="24"/>
                <w:lang w:val="en-US" w:eastAsia="zh-CN"/>
              </w:rPr>
            </w:pPr>
          </w:p>
        </w:tc>
      </w:tr>
    </w:tbl>
    <w:p>
      <w:pPr>
        <w:keepNext w:val="0"/>
        <w:keepLines w:val="0"/>
        <w:pageBreakBefore w:val="0"/>
        <w:widowControl w:val="0"/>
        <w:kinsoku/>
        <w:wordWrap/>
        <w:overflowPunct/>
        <w:topLinePunct w:val="0"/>
        <w:autoSpaceDE/>
        <w:autoSpaceDN/>
        <w:bidi w:val="0"/>
        <w:adjustRightInd/>
        <w:snapToGrid/>
        <w:spacing w:line="20" w:lineRule="exact"/>
        <w:textAlignment w:val="auto"/>
        <w:rPr>
          <w:rFonts w:hint="default"/>
          <w:lang w:val="en-US" w:eastAsia="zh-CN"/>
        </w:rPr>
      </w:pPr>
    </w:p>
    <w:p>
      <w:pPr>
        <w:keepNext w:val="0"/>
        <w:keepLines w:val="0"/>
        <w:pageBreakBefore w:val="0"/>
        <w:widowControl w:val="0"/>
        <w:kinsoku/>
        <w:wordWrap/>
        <w:overflowPunct w:val="0"/>
        <w:topLinePunct w:val="0"/>
        <w:autoSpaceDE/>
        <w:autoSpaceDN/>
        <w:bidi w:val="0"/>
        <w:adjustRightInd w:val="0"/>
        <w:snapToGrid w:val="0"/>
        <w:spacing w:before="6" w:line="240" w:lineRule="auto"/>
        <w:jc w:val="both"/>
        <w:textAlignment w:val="auto"/>
        <w:rPr>
          <w:rFonts w:hint="eastAsia" w:ascii="楷体_GB2312" w:hAnsi="楷体_GB2312" w:eastAsia="楷体_GB2312" w:cs="楷体_GB2312"/>
          <w:kern w:val="2"/>
          <w:sz w:val="24"/>
          <w:szCs w:val="24"/>
          <w:lang w:val="en-US" w:eastAsia="zh-CN"/>
        </w:rPr>
      </w:pPr>
      <w:r>
        <w:rPr>
          <w:rFonts w:hint="eastAsia" w:ascii="楷体_GB2312" w:hAnsi="楷体_GB2312" w:eastAsia="楷体_GB2312" w:cs="楷体_GB2312"/>
          <w:kern w:val="2"/>
          <w:sz w:val="24"/>
          <w:szCs w:val="24"/>
          <w:lang w:val="en-US" w:eastAsia="zh-CN"/>
        </w:rPr>
        <w:t>注：涉及行政许可、行政备案等相关事项，需填写受理部门和申请途经。</w:t>
      </w:r>
    </w:p>
    <w:p>
      <w:pPr>
        <w:keepNext w:val="0"/>
        <w:keepLines w:val="0"/>
        <w:pageBreakBefore w:val="0"/>
        <w:widowControl w:val="0"/>
        <w:kinsoku/>
        <w:wordWrap/>
        <w:overflowPunct w:val="0"/>
        <w:topLinePunct w:val="0"/>
        <w:autoSpaceDE/>
        <w:autoSpaceDN/>
        <w:bidi w:val="0"/>
        <w:adjustRightInd w:val="0"/>
        <w:snapToGrid w:val="0"/>
        <w:spacing w:line="240" w:lineRule="auto"/>
        <w:jc w:val="center"/>
        <w:textAlignment w:val="auto"/>
        <w:rPr>
          <w:rFonts w:hint="eastAsia" w:ascii="楷体_GB2312" w:hAnsi="楷体_GB2312" w:eastAsia="楷体_GB2312" w:cs="楷体_GB2312"/>
          <w:kern w:val="2"/>
          <w:sz w:val="24"/>
          <w:szCs w:val="24"/>
          <w:lang w:val="en-US" w:eastAsia="zh-CN"/>
        </w:rPr>
        <w:sectPr>
          <w:footerReference r:id="rId5" w:type="default"/>
          <w:footerReference r:id="rId6" w:type="even"/>
          <w:pgSz w:w="16838" w:h="11906" w:orient="landscape"/>
          <w:pgMar w:top="1587" w:right="1644" w:bottom="1474" w:left="1644" w:header="851" w:footer="907" w:gutter="0"/>
          <w:pgBorders>
            <w:top w:val="none" w:sz="0" w:space="0"/>
            <w:left w:val="none" w:sz="0" w:space="0"/>
            <w:bottom w:val="none" w:sz="0" w:space="0"/>
            <w:right w:val="none" w:sz="0" w:space="0"/>
          </w:pgBorders>
          <w:cols w:space="0" w:num="1"/>
          <w:rtlGutter w:val="0"/>
          <w:docGrid w:type="linesAndChars" w:linePitch="589" w:charSpace="-849"/>
        </w:sectPr>
      </w:pPr>
    </w:p>
    <w:p>
      <w:pPr>
        <w:overflowPunct w:val="0"/>
        <w:adjustRightInd w:val="0"/>
        <w:snapToGrid w:val="0"/>
        <w:spacing w:line="336" w:lineRule="auto"/>
        <w:rPr>
          <w:rFonts w:hint="eastAsia"/>
          <w:kern w:val="2"/>
          <w:szCs w:val="30"/>
          <w:lang w:val="en-US" w:eastAsia="zh-CN"/>
        </w:rPr>
      </w:pPr>
    </w:p>
    <w:p>
      <w:pPr>
        <w:rPr>
          <w:rFonts w:hint="eastAsia"/>
          <w:kern w:val="2"/>
          <w:szCs w:val="30"/>
          <w:lang w:val="en-US" w:eastAsia="zh-CN"/>
        </w:rPr>
      </w:pPr>
      <w:r>
        <w:rPr>
          <w:rFonts w:hint="eastAsia"/>
          <w:kern w:val="2"/>
          <w:szCs w:val="30"/>
          <w:lang w:val="en-US" w:eastAsia="zh-CN"/>
        </w:rPr>
        <w:br w:type="page"/>
      </w:r>
    </w:p>
    <w:p>
      <w:pPr>
        <w:overflowPunct w:val="0"/>
        <w:adjustRightInd w:val="0"/>
        <w:snapToGrid w:val="0"/>
        <w:spacing w:line="336" w:lineRule="auto"/>
        <w:rPr>
          <w:rFonts w:hint="eastAsia"/>
          <w:kern w:val="2"/>
          <w:szCs w:val="30"/>
          <w:lang w:val="en-US" w:eastAsia="zh-CN"/>
        </w:rPr>
      </w:pPr>
    </w:p>
    <w:p>
      <w:pPr>
        <w:rPr>
          <w:rFonts w:hint="eastAsia"/>
          <w:kern w:val="2"/>
          <w:szCs w:val="30"/>
          <w:lang w:val="en-US" w:eastAsia="zh-CN"/>
        </w:rPr>
      </w:pPr>
      <w:r>
        <w:rPr>
          <w:rFonts w:hint="eastAsia"/>
          <w:kern w:val="2"/>
          <w:szCs w:val="30"/>
          <w:lang w:val="en-US" w:eastAsia="zh-CN"/>
        </w:rPr>
        <w:br w:type="page"/>
      </w:r>
    </w:p>
    <w:p>
      <w:pPr>
        <w:overflowPunct w:val="0"/>
        <w:adjustRightInd w:val="0"/>
        <w:snapToGrid w:val="0"/>
        <w:spacing w:line="336" w:lineRule="auto"/>
        <w:rPr>
          <w:rFonts w:hint="eastAsia"/>
          <w:kern w:val="2"/>
          <w:szCs w:val="30"/>
          <w:lang w:val="en-US" w:eastAsia="zh-CN"/>
        </w:rPr>
      </w:pPr>
    </w:p>
    <w:p>
      <w:pPr>
        <w:rPr>
          <w:rFonts w:hint="eastAsia"/>
          <w:kern w:val="2"/>
          <w:szCs w:val="30"/>
          <w:lang w:val="en-US" w:eastAsia="zh-CN"/>
        </w:rPr>
      </w:pPr>
      <w:r>
        <w:rPr>
          <w:rFonts w:hint="eastAsia"/>
          <w:kern w:val="2"/>
          <w:szCs w:val="30"/>
          <w:lang w:val="en-US" w:eastAsia="zh-CN"/>
        </w:rPr>
        <w:br w:type="page"/>
      </w: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overflowPunct w:val="0"/>
        <w:adjustRightInd w:val="0"/>
        <w:snapToGrid w:val="0"/>
        <w:spacing w:line="336" w:lineRule="auto"/>
        <w:rPr>
          <w:rFonts w:hint="eastAsia"/>
          <w:kern w:val="2"/>
          <w:szCs w:val="30"/>
          <w:lang w:val="en-US" w:eastAsia="zh-CN"/>
        </w:rPr>
      </w:pPr>
    </w:p>
    <w:p>
      <w:pPr>
        <w:keepNext w:val="0"/>
        <w:keepLines w:val="0"/>
        <w:pageBreakBefore w:val="0"/>
        <w:widowControl w:val="0"/>
        <w:kinsoku/>
        <w:wordWrap/>
        <w:overflowPunct w:val="0"/>
        <w:topLinePunct w:val="0"/>
        <w:autoSpaceDE/>
        <w:autoSpaceDN/>
        <w:bidi w:val="0"/>
        <w:adjustRightInd w:val="0"/>
        <w:snapToGrid w:val="0"/>
        <w:spacing w:after="120" w:line="336" w:lineRule="auto"/>
        <w:textAlignment w:val="auto"/>
        <w:rPr>
          <w:rFonts w:hint="eastAsia"/>
          <w:kern w:val="2"/>
          <w:szCs w:val="30"/>
          <w:lang w:val="en-US" w:eastAsia="zh-CN"/>
        </w:rPr>
      </w:pPr>
    </w:p>
    <w:p>
      <w:pPr>
        <w:overflowPunct w:val="0"/>
        <w:adjustRightInd w:val="0"/>
        <w:snapToGrid w:val="0"/>
        <w:spacing w:line="336" w:lineRule="auto"/>
        <w:ind w:firstLine="284"/>
        <w:rPr>
          <w:rFonts w:hint="eastAsia" w:hAnsi="宋体"/>
          <w:kern w:val="2"/>
          <w:sz w:val="28"/>
          <w:szCs w:val="28"/>
          <w:lang w:val="en-US" w:eastAsia="zh-CN"/>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272415</wp:posOffset>
                </wp:positionV>
                <wp:extent cx="561594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1.45pt;height:0pt;width:442.2pt;z-index:251667456;mso-width-relative:page;mso-height-relative:page;" filled="f" stroked="t" coordsize="21600,21600" o:gfxdata="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5/ey7VAAAABgEAAA8AAAAAAAAAAQAgAAAAOAAAAGRycy9kb3ducmV2LnhtbFBLAQIUABQA&#10;AAAIAIdO4kBaCUlF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-40640</wp:posOffset>
                </wp:positionV>
                <wp:extent cx="5615940" cy="0"/>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2pt;height:0pt;width:442.2pt;z-index:251666432;mso-width-relative:page;mso-height-relative:page;" filled="f" stroked="t" coordsize="21600,21600" o:gfxdata="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GYD+ZrVAAAABgEAAA8AAAAAAAAAAQAgAAAAOAAAAGRycy9kb3ducmV2LnhtbFBLAQIUABQA&#10;AAAIAIdO4kA4q7JI3QEAAJw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4</w:t>
      </w:r>
      <w:r>
        <w:rPr>
          <w:rFonts w:hint="eastAsia" w:hAnsi="宋体"/>
          <w:kern w:val="2"/>
          <w:sz w:val="28"/>
          <w:szCs w:val="28"/>
        </w:rPr>
        <w:t>年</w:t>
      </w:r>
      <w:r>
        <w:rPr>
          <w:rFonts w:hint="eastAsia" w:hAnsi="宋体"/>
          <w:kern w:val="2"/>
          <w:sz w:val="28"/>
          <w:szCs w:val="28"/>
          <w:lang w:val="en-US" w:eastAsia="zh-CN"/>
        </w:rPr>
        <w:t>4</w:t>
      </w:r>
      <w:r>
        <w:rPr>
          <w:rFonts w:hint="eastAsia" w:hAnsi="宋体"/>
          <w:kern w:val="2"/>
          <w:sz w:val="28"/>
          <w:szCs w:val="28"/>
        </w:rPr>
        <w:t>月</w:t>
      </w:r>
      <w:r>
        <w:rPr>
          <w:rFonts w:hint="eastAsia" w:hAnsi="宋体"/>
          <w:kern w:val="2"/>
          <w:sz w:val="28"/>
          <w:szCs w:val="28"/>
          <w:lang w:val="en-US" w:eastAsia="zh-CN"/>
        </w:rPr>
        <w:t>16</w:t>
      </w:r>
      <w:r>
        <w:rPr>
          <w:rFonts w:hint="eastAsia" w:hAnsi="宋体"/>
          <w:kern w:val="2"/>
          <w:sz w:val="28"/>
          <w:szCs w:val="28"/>
        </w:rPr>
        <w:t xml:space="preserve">日印发  </w:t>
      </w:r>
    </w:p>
    <w:sectPr>
      <w:footerReference r:id="rId7" w:type="default"/>
      <w:footerReference r:id="rId8" w:type="even"/>
      <w:pgSz w:w="11906" w:h="16838"/>
      <w:pgMar w:top="2098" w:right="1474" w:bottom="1984" w:left="1588" w:header="851" w:footer="1417" w:gutter="0"/>
      <w:pgBorders>
        <w:top w:val="none" w:sz="0" w:space="0"/>
        <w:left w:val="none" w:sz="0" w:space="0"/>
        <w:bottom w:val="none" w:sz="0" w:space="0"/>
        <w:right w:val="none" w:sz="0" w:space="0"/>
      </w:pgBorders>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right"/>
      <w:rPr>
        <w:rFonts w:ascii="宋体" w:hAnsi="宋体" w:eastAsia="宋体"/>
        <w:kern w:val="0"/>
        <w:sz w:val="28"/>
        <w:szCs w:val="28"/>
      </w:rPr>
    </w:pP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hint="eastAsia" w:ascii="宋体" w:hAnsi="宋体" w:eastAsia="宋体"/>
        <w:kern w:val="0"/>
        <w:sz w:val="28"/>
        <w:szCs w:val="28"/>
      </w:rPr>
      <w:fldChar w:fldCharType="separate"/>
    </w:r>
    <w:r>
      <w:rPr>
        <w:rFonts w:ascii="宋体" w:hAnsi="宋体" w:eastAsia="宋体"/>
        <w:kern w:val="0"/>
        <w:sz w:val="28"/>
        <w:szCs w:val="28"/>
      </w:rPr>
      <w:t>3</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both"/>
      <w:rPr>
        <w:rFonts w:ascii="宋体" w:hAnsi="宋体" w:eastAsia="宋体"/>
        <w:kern w:val="0"/>
        <w:sz w:val="28"/>
        <w:szCs w:val="28"/>
      </w:rPr>
    </w:pP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hint="eastAsia" w:ascii="宋体" w:hAnsi="宋体" w:eastAsia="宋体"/>
        <w:kern w:val="0"/>
        <w:sz w:val="28"/>
        <w:szCs w:val="28"/>
      </w:rPr>
      <w:fldChar w:fldCharType="separate"/>
    </w:r>
    <w:r>
      <w:rPr>
        <w:rFonts w:ascii="宋体" w:hAnsi="宋体" w:eastAsia="宋体"/>
        <w:kern w:val="0"/>
        <w:sz w:val="28"/>
        <w:szCs w:val="28"/>
      </w:rPr>
      <w:t>2</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right"/>
      <w:rPr>
        <w:rFonts w:ascii="宋体" w:hAnsi="宋体" w:eastAsia="宋体"/>
        <w:kern w:val="0"/>
        <w:sz w:val="28"/>
        <w:szCs w:val="28"/>
      </w:rPr>
    </w:pPr>
    <w:r>
      <w:rPr>
        <w:rFonts w:hint="eastAsia" w:hAnsi="宋体"/>
        <w:kern w:val="2"/>
        <w:szCs w:val="30"/>
      </w:rPr>
      <mc:AlternateContent>
        <mc:Choice Requires="wps">
          <w:drawing>
            <wp:anchor distT="0" distB="0" distL="114300" distR="114300" simplePos="0" relativeHeight="251658240" behindDoc="0" locked="1" layoutInCell="1" allowOverlap="1">
              <wp:simplePos x="0" y="0"/>
              <wp:positionH relativeFrom="margin">
                <wp:posOffset>-467995</wp:posOffset>
              </wp:positionH>
              <wp:positionV relativeFrom="margin">
                <wp:align>outside</wp:align>
              </wp:positionV>
              <wp:extent cx="311150" cy="108204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311150" cy="1082040"/>
                      </a:xfrm>
                      <a:prstGeom prst="rect">
                        <a:avLst/>
                      </a:prstGeom>
                      <a:noFill/>
                      <a:ln>
                        <a:noFill/>
                      </a:ln>
                    </wps:spPr>
                    <wps:txbx>
                      <w:txbxContent>
                        <w:p>
                          <w:pPr>
                            <w:pStyle w:val="4"/>
                            <w:ind w:left="312" w:right="312"/>
                            <w:jc w:val="right"/>
                            <w:rPr>
                              <w:rFonts w:ascii="宋体" w:hAnsi="宋体"/>
                              <w:sz w:val="28"/>
                              <w:szCs w:val="28"/>
                            </w:rPr>
                          </w:pPr>
                          <w:r>
                            <w:rPr>
                              <w:rFonts w:hint="eastAsia" w:ascii="宋体" w:hAnsi="宋体"/>
                              <w:sz w:val="28"/>
                              <w:szCs w:val="28"/>
                            </w:rPr>
                            <w:t xml:space="preserve">— </w:t>
                          </w:r>
                          <w:r>
                            <w:rPr>
                              <w:rFonts w:hint="eastAsia" w:ascii="宋体" w:hAnsi="宋体"/>
                              <w:sz w:val="28"/>
                              <w:szCs w:val="28"/>
                            </w:rPr>
                            <w:fldChar w:fldCharType="begin"/>
                          </w:r>
                          <w:r>
                            <w:rPr>
                              <w:rFonts w:hint="eastAsia" w:ascii="宋体" w:hAnsi="宋体"/>
                              <w:sz w:val="28"/>
                              <w:szCs w:val="28"/>
                            </w:rPr>
                            <w:instrText xml:space="preserve"> PAGE </w:instrText>
                          </w:r>
                          <w:r>
                            <w:rPr>
                              <w:rFonts w:hint="eastAsia" w:ascii="宋体" w:hAnsi="宋体"/>
                              <w:sz w:val="28"/>
                              <w:szCs w:val="28"/>
                            </w:rPr>
                            <w:fldChar w:fldCharType="separate"/>
                          </w:r>
                          <w:r>
                            <w:rPr>
                              <w:rFonts w:hint="eastAsia" w:ascii="宋体" w:hAnsi="宋体"/>
                              <w:sz w:val="28"/>
                              <w:szCs w:val="28"/>
                            </w:rPr>
                            <w:t>1</w:t>
                          </w:r>
                          <w:r>
                            <w:rPr>
                              <w:rFonts w:hint="eastAsia" w:ascii="宋体" w:hAnsi="宋体"/>
                              <w:sz w:val="28"/>
                              <w:szCs w:val="28"/>
                            </w:rPr>
                            <w:fldChar w:fldCharType="end"/>
                          </w:r>
                          <w:r>
                            <w:rPr>
                              <w:rFonts w:hint="eastAsia" w:ascii="宋体" w:hAnsi="宋体"/>
                              <w:sz w:val="28"/>
                              <w:szCs w:val="28"/>
                            </w:rPr>
                            <w:t xml:space="preserve"> —</w:t>
                          </w:r>
                        </w:p>
                      </w:txbxContent>
                    </wps:txbx>
                    <wps:bodyPr vert="eaVert" wrap="none" lIns="36000" tIns="36000" rIns="36000" bIns="36000" upright="true">
                      <a:spAutoFit/>
                    </wps:bodyPr>
                  </wps:wsp>
                </a:graphicData>
              </a:graphic>
            </wp:anchor>
          </w:drawing>
        </mc:Choice>
        <mc:Fallback>
          <w:pict>
            <v:shape id="_x0000_s1026" o:spid="_x0000_s1026" o:spt="202" type="#_x0000_t202" style="position:absolute;left:0pt;margin-left:-36.85pt;height:85.2pt;width:24.5pt;mso-position-horizontal-relative:margin;mso-position-vertical:outside;mso-position-vertical-relative:margin;mso-wrap-style:none;z-index:251658240;mso-width-relative:page;mso-height-relative:page;" filled="f" stroked="f" coordsize="21600,21600" o:gfxdata="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AsBnRrXAAAACAEAAA8AAAAAAAAA&#10;AQAgAAAAOAAAAGRycy9kb3ducmV2LnhtbFBLAQIUABQAAAAIAIdO4kAG945TwwEAAHADAAAOAAAA&#10;AAAAAAEAIAAAADwBAABkcnMvZTJvRG9jLnhtbFBLBQYAAAAABgAGAFkBAABxBQAAAAA=&#10;">
              <v:fill on="f" focussize="0,0"/>
              <v:stroke on="f"/>
              <v:imagedata o:title=""/>
              <o:lock v:ext="edit" aspectratio="f"/>
              <v:textbox inset="1mm,1mm,1mm,1mm" style="layout-flow:vertical-ideographic;mso-fit-shape-to-text:t;">
                <w:txbxContent>
                  <w:p>
                    <w:pPr>
                      <w:pStyle w:val="4"/>
                      <w:ind w:left="312" w:right="312"/>
                      <w:jc w:val="right"/>
                      <w:rPr>
                        <w:rFonts w:ascii="宋体" w:hAnsi="宋体"/>
                        <w:sz w:val="28"/>
                        <w:szCs w:val="28"/>
                      </w:rPr>
                    </w:pPr>
                    <w:r>
                      <w:rPr>
                        <w:rFonts w:hint="eastAsia" w:ascii="宋体" w:hAnsi="宋体"/>
                        <w:sz w:val="28"/>
                        <w:szCs w:val="28"/>
                      </w:rPr>
                      <w:t xml:space="preserve">— </w:t>
                    </w:r>
                    <w:r>
                      <w:rPr>
                        <w:rFonts w:hint="eastAsia" w:ascii="宋体" w:hAnsi="宋体"/>
                        <w:sz w:val="28"/>
                        <w:szCs w:val="28"/>
                      </w:rPr>
                      <w:fldChar w:fldCharType="begin"/>
                    </w:r>
                    <w:r>
                      <w:rPr>
                        <w:rFonts w:hint="eastAsia" w:ascii="宋体" w:hAnsi="宋体"/>
                        <w:sz w:val="28"/>
                        <w:szCs w:val="28"/>
                      </w:rPr>
                      <w:instrText xml:space="preserve"> PAGE </w:instrText>
                    </w:r>
                    <w:r>
                      <w:rPr>
                        <w:rFonts w:hint="eastAsia" w:ascii="宋体" w:hAnsi="宋体"/>
                        <w:sz w:val="28"/>
                        <w:szCs w:val="28"/>
                      </w:rPr>
                      <w:fldChar w:fldCharType="separate"/>
                    </w:r>
                    <w:r>
                      <w:rPr>
                        <w:rFonts w:hint="eastAsia" w:ascii="宋体" w:hAnsi="宋体"/>
                        <w:sz w:val="28"/>
                        <w:szCs w:val="28"/>
                      </w:rPr>
                      <w:t>1</w:t>
                    </w:r>
                    <w:r>
                      <w:rPr>
                        <w:rFonts w:hint="eastAsia" w:ascii="宋体" w:hAnsi="宋体"/>
                        <w:sz w:val="28"/>
                        <w:szCs w:val="28"/>
                      </w:rPr>
                      <w:fldChar w:fldCharType="end"/>
                    </w:r>
                    <w:r>
                      <w:rPr>
                        <w:rFonts w:hint="eastAsia" w:ascii="宋体" w:hAnsi="宋体"/>
                        <w:sz w:val="28"/>
                        <w:szCs w:val="28"/>
                      </w:rPr>
                      <w:t xml:space="preserve"> —</w:t>
                    </w:r>
                  </w:p>
                </w:txbxContent>
              </v:textbox>
              <w10:anchorlock/>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both"/>
      <w:rPr>
        <w:rFonts w:ascii="宋体" w:hAnsi="宋体" w:eastAsia="宋体"/>
        <w:kern w:val="0"/>
        <w:sz w:val="28"/>
        <w:szCs w:val="28"/>
      </w:rPr>
    </w:pPr>
    <w:r>
      <w:rPr>
        <w:rFonts w:hint="eastAsia" w:hAnsi="宋体"/>
        <w:kern w:val="2"/>
        <w:szCs w:val="30"/>
      </w:rPr>
      <mc:AlternateContent>
        <mc:Choice Requires="wps">
          <w:drawing>
            <wp:anchor distT="0" distB="0" distL="114300" distR="114300" simplePos="0" relativeHeight="251659264" behindDoc="0" locked="1" layoutInCell="1" allowOverlap="1">
              <wp:simplePos x="0" y="0"/>
              <wp:positionH relativeFrom="margin">
                <wp:posOffset>-467995</wp:posOffset>
              </wp:positionH>
              <wp:positionV relativeFrom="margin">
                <wp:align>outside</wp:align>
              </wp:positionV>
              <wp:extent cx="311150" cy="108204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311150" cy="1082040"/>
                      </a:xfrm>
                      <a:prstGeom prst="rect">
                        <a:avLst/>
                      </a:prstGeom>
                      <a:noFill/>
                      <a:ln>
                        <a:noFill/>
                      </a:ln>
                    </wps:spPr>
                    <wps:txbx>
                      <w:txbxContent>
                        <w:p>
                          <w:pPr>
                            <w:pStyle w:val="4"/>
                            <w:ind w:left="312" w:right="312"/>
                            <w:jc w:val="right"/>
                            <w:rPr>
                              <w:rFonts w:ascii="宋体" w:hAnsi="宋体"/>
                              <w:sz w:val="28"/>
                              <w:szCs w:val="28"/>
                            </w:rPr>
                          </w:pPr>
                          <w:r>
                            <w:rPr>
                              <w:rFonts w:hint="eastAsia" w:ascii="宋体" w:hAnsi="宋体"/>
                              <w:sz w:val="28"/>
                              <w:szCs w:val="28"/>
                            </w:rPr>
                            <w:t xml:space="preserve">— </w:t>
                          </w:r>
                          <w:r>
                            <w:rPr>
                              <w:rFonts w:hint="eastAsia" w:ascii="宋体" w:hAnsi="宋体"/>
                              <w:sz w:val="28"/>
                              <w:szCs w:val="28"/>
                            </w:rPr>
                            <w:fldChar w:fldCharType="begin"/>
                          </w:r>
                          <w:r>
                            <w:rPr>
                              <w:rFonts w:hint="eastAsia" w:ascii="宋体" w:hAnsi="宋体"/>
                              <w:sz w:val="28"/>
                              <w:szCs w:val="28"/>
                            </w:rPr>
                            <w:instrText xml:space="preserve"> PAGE </w:instrText>
                          </w:r>
                          <w:r>
                            <w:rPr>
                              <w:rFonts w:hint="eastAsia" w:ascii="宋体" w:hAnsi="宋体"/>
                              <w:sz w:val="28"/>
                              <w:szCs w:val="28"/>
                            </w:rPr>
                            <w:fldChar w:fldCharType="separate"/>
                          </w:r>
                          <w:r>
                            <w:rPr>
                              <w:rFonts w:hint="eastAsia" w:ascii="宋体" w:hAnsi="宋体"/>
                              <w:sz w:val="28"/>
                              <w:szCs w:val="28"/>
                            </w:rPr>
                            <w:t>1</w:t>
                          </w:r>
                          <w:r>
                            <w:rPr>
                              <w:rFonts w:hint="eastAsia" w:ascii="宋体" w:hAnsi="宋体"/>
                              <w:sz w:val="28"/>
                              <w:szCs w:val="28"/>
                            </w:rPr>
                            <w:fldChar w:fldCharType="end"/>
                          </w:r>
                          <w:r>
                            <w:rPr>
                              <w:rFonts w:hint="eastAsia" w:ascii="宋体" w:hAnsi="宋体"/>
                              <w:sz w:val="28"/>
                              <w:szCs w:val="28"/>
                            </w:rPr>
                            <w:t xml:space="preserve"> —</w:t>
                          </w:r>
                        </w:p>
                      </w:txbxContent>
                    </wps:txbx>
                    <wps:bodyPr vert="eaVert" wrap="none" lIns="36000" tIns="36000" rIns="36000" bIns="36000" upright="true">
                      <a:spAutoFit/>
                    </wps:bodyPr>
                  </wps:wsp>
                </a:graphicData>
              </a:graphic>
            </wp:anchor>
          </w:drawing>
        </mc:Choice>
        <mc:Fallback>
          <w:pict>
            <v:shape id="_x0000_s1026" o:spid="_x0000_s1026" o:spt="202" type="#_x0000_t202" style="position:absolute;left:0pt;margin-left:-36.85pt;height:85.2pt;width:24.5pt;mso-position-horizontal-relative:margin;mso-position-vertical:outside;mso-position-vertical-relative:margin;mso-wrap-style:none;z-index:251659264;mso-width-relative:page;mso-height-relative:page;" filled="f" stroked="f" coordsize="21600,21600" o:gfxdata="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ALAZ0a1wAAAAgBAAAPAAAAAAAA&#10;AAEAIAAAADgAAABkcnMvZG93bnJldi54bWxQSwECFAAUAAAACACHTuJA/oXiycQBAABwAwAADgAA&#10;AAAAAAABACAAAAA8AQAAZHJzL2Uyb0RvYy54bWxQSwUGAAAAAAYABgBZAQAAcgUAAAAA&#10;">
              <v:fill on="f" focussize="0,0"/>
              <v:stroke on="f"/>
              <v:imagedata o:title=""/>
              <o:lock v:ext="edit" aspectratio="f"/>
              <v:textbox inset="1mm,1mm,1mm,1mm" style="layout-flow:vertical-ideographic;mso-fit-shape-to-text:t;">
                <w:txbxContent>
                  <w:p>
                    <w:pPr>
                      <w:pStyle w:val="4"/>
                      <w:ind w:left="312" w:right="312"/>
                      <w:jc w:val="right"/>
                      <w:rPr>
                        <w:rFonts w:ascii="宋体" w:hAnsi="宋体"/>
                        <w:sz w:val="28"/>
                        <w:szCs w:val="28"/>
                      </w:rPr>
                    </w:pPr>
                    <w:r>
                      <w:rPr>
                        <w:rFonts w:hint="eastAsia" w:ascii="宋体" w:hAnsi="宋体"/>
                        <w:sz w:val="28"/>
                        <w:szCs w:val="28"/>
                      </w:rPr>
                      <w:t xml:space="preserve">— </w:t>
                    </w:r>
                    <w:r>
                      <w:rPr>
                        <w:rFonts w:hint="eastAsia" w:ascii="宋体" w:hAnsi="宋体"/>
                        <w:sz w:val="28"/>
                        <w:szCs w:val="28"/>
                      </w:rPr>
                      <w:fldChar w:fldCharType="begin"/>
                    </w:r>
                    <w:r>
                      <w:rPr>
                        <w:rFonts w:hint="eastAsia" w:ascii="宋体" w:hAnsi="宋体"/>
                        <w:sz w:val="28"/>
                        <w:szCs w:val="28"/>
                      </w:rPr>
                      <w:instrText xml:space="preserve"> PAGE </w:instrText>
                    </w:r>
                    <w:r>
                      <w:rPr>
                        <w:rFonts w:hint="eastAsia" w:ascii="宋体" w:hAnsi="宋体"/>
                        <w:sz w:val="28"/>
                        <w:szCs w:val="28"/>
                      </w:rPr>
                      <w:fldChar w:fldCharType="separate"/>
                    </w:r>
                    <w:r>
                      <w:rPr>
                        <w:rFonts w:hint="eastAsia" w:ascii="宋体" w:hAnsi="宋体"/>
                        <w:sz w:val="28"/>
                        <w:szCs w:val="28"/>
                      </w:rPr>
                      <w:t>1</w:t>
                    </w:r>
                    <w:r>
                      <w:rPr>
                        <w:rFonts w:hint="eastAsia" w:ascii="宋体" w:hAnsi="宋体"/>
                        <w:sz w:val="28"/>
                        <w:szCs w:val="28"/>
                      </w:rPr>
                      <w:fldChar w:fldCharType="end"/>
                    </w:r>
                    <w:r>
                      <w:rPr>
                        <w:rFonts w:hint="eastAsia" w:ascii="宋体" w:hAnsi="宋体"/>
                        <w:sz w:val="28"/>
                        <w:szCs w:val="28"/>
                      </w:rPr>
                      <w:t xml:space="preserve"> —</w:t>
                    </w:r>
                  </w:p>
                </w:txbxContent>
              </v:textbox>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right"/>
      <w:rPr>
        <w:rFonts w:ascii="宋体" w:hAnsi="宋体" w:eastAsia="宋体"/>
        <w:kern w:val="0"/>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both"/>
      <w:rPr>
        <w:rFonts w:ascii="宋体" w:hAnsi="宋体" w:eastAsia="宋体"/>
        <w:kern w:val="0"/>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evenAndOddHeaders w:val="true"/>
  <w:drawingGridHorizontalSpacing w:val="158"/>
  <w:drawingGridVerticalSpacing w:val="295"/>
  <w:displayHorizontalDrawingGridEvery w:val="2"/>
  <w:displayVerticalDrawingGridEvery w:val="2"/>
  <w:noPunctuationKerning w:val="true"/>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22"/>
    <w:rsid w:val="00116046"/>
    <w:rsid w:val="002C4FB7"/>
    <w:rsid w:val="002D4C71"/>
    <w:rsid w:val="00347622"/>
    <w:rsid w:val="003E52A5"/>
    <w:rsid w:val="00525B99"/>
    <w:rsid w:val="00545C00"/>
    <w:rsid w:val="005D5A1B"/>
    <w:rsid w:val="006052EB"/>
    <w:rsid w:val="00632C8F"/>
    <w:rsid w:val="006C4DAD"/>
    <w:rsid w:val="00711785"/>
    <w:rsid w:val="007D46E9"/>
    <w:rsid w:val="007F59A2"/>
    <w:rsid w:val="0091618E"/>
    <w:rsid w:val="009C29A8"/>
    <w:rsid w:val="00A043DE"/>
    <w:rsid w:val="00A46B23"/>
    <w:rsid w:val="00B2040C"/>
    <w:rsid w:val="00C62B94"/>
    <w:rsid w:val="00D5197D"/>
    <w:rsid w:val="00E720E2"/>
    <w:rsid w:val="00EB2C65"/>
    <w:rsid w:val="00F07660"/>
    <w:rsid w:val="00FA20C9"/>
    <w:rsid w:val="00FB0D5B"/>
    <w:rsid w:val="0F5ECD23"/>
    <w:rsid w:val="17F76752"/>
    <w:rsid w:val="1AB452FD"/>
    <w:rsid w:val="1F7587C8"/>
    <w:rsid w:val="29D79F87"/>
    <w:rsid w:val="2BEBE055"/>
    <w:rsid w:val="2FFBE460"/>
    <w:rsid w:val="329F898E"/>
    <w:rsid w:val="3BCD4EC4"/>
    <w:rsid w:val="5DD7FCC2"/>
    <w:rsid w:val="5DDFCAAC"/>
    <w:rsid w:val="5FFB8F9D"/>
    <w:rsid w:val="6C5E2E0F"/>
    <w:rsid w:val="6CDF0836"/>
    <w:rsid w:val="6EB783E6"/>
    <w:rsid w:val="6EFDC35E"/>
    <w:rsid w:val="75D5BAAB"/>
    <w:rsid w:val="77EF0A4A"/>
    <w:rsid w:val="77F707DF"/>
    <w:rsid w:val="78FBDAB4"/>
    <w:rsid w:val="7AFF3D16"/>
    <w:rsid w:val="7AFFE62F"/>
    <w:rsid w:val="7BDB7A94"/>
    <w:rsid w:val="7D74B683"/>
    <w:rsid w:val="7DF7F647"/>
    <w:rsid w:val="7EF420F6"/>
    <w:rsid w:val="7F3FF39A"/>
    <w:rsid w:val="7FF79FBC"/>
    <w:rsid w:val="7FFD90DC"/>
    <w:rsid w:val="9787AE75"/>
    <w:rsid w:val="9FBF019C"/>
    <w:rsid w:val="B9DFFEE2"/>
    <w:rsid w:val="B9F7F0A6"/>
    <w:rsid w:val="BFFFFEC6"/>
    <w:rsid w:val="C7FB80D0"/>
    <w:rsid w:val="D3EC0D99"/>
    <w:rsid w:val="D4D79E64"/>
    <w:rsid w:val="D4F53B9C"/>
    <w:rsid w:val="D77B693C"/>
    <w:rsid w:val="DF7567AE"/>
    <w:rsid w:val="E37ABF4C"/>
    <w:rsid w:val="E6B7FAAF"/>
    <w:rsid w:val="E6FFD0D8"/>
    <w:rsid w:val="EA06B6A1"/>
    <w:rsid w:val="EDFB99AB"/>
    <w:rsid w:val="EEBB3EE4"/>
    <w:rsid w:val="F5F166D5"/>
    <w:rsid w:val="F5FBDD7D"/>
    <w:rsid w:val="F75F8890"/>
    <w:rsid w:val="F9EF7AF6"/>
    <w:rsid w:val="FBFB620D"/>
    <w:rsid w:val="FCFFE0B2"/>
    <w:rsid w:val="FDFEF4D1"/>
    <w:rsid w:val="FF719896"/>
    <w:rsid w:val="FF7F6AF1"/>
    <w:rsid w:val="FF7FCC89"/>
    <w:rsid w:val="FFA7295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imes New Roman"/>
      <w:kern w:val="2"/>
      <w:sz w:val="32"/>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rPr>
  </w:style>
  <w:style w:type="paragraph" w:styleId="3">
    <w:name w:val="Balloon Text"/>
    <w:basedOn w:val="1"/>
    <w:link w:val="12"/>
    <w:semiHidden/>
    <w:unhideWhenUsed/>
    <w:qFormat/>
    <w:uiPriority w:val="99"/>
    <w:rPr>
      <w:sz w:val="18"/>
      <w:szCs w:val="18"/>
    </w:rPr>
  </w:style>
  <w:style w:type="paragraph" w:styleId="4">
    <w:name w:val="footer"/>
    <w:basedOn w:val="1"/>
    <w:next w:val="1"/>
    <w:link w:val="11"/>
    <w:unhideWhenUsed/>
    <w:qFormat/>
    <w:uiPriority w:val="0"/>
    <w:pPr>
      <w:tabs>
        <w:tab w:val="center" w:pos="4153"/>
        <w:tab w:val="right" w:pos="8306"/>
      </w:tabs>
      <w:snapToGrid w:val="0"/>
      <w:jc w:val="left"/>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9">
    <w:name w:val="Heading1"/>
    <w:basedOn w:val="1"/>
    <w:next w:val="1"/>
    <w:qFormat/>
    <w:uiPriority w:val="0"/>
    <w:pPr>
      <w:spacing w:beforeAutospacing="1" w:afterAutospacing="1"/>
      <w:jc w:val="left"/>
    </w:pPr>
    <w:rPr>
      <w:rFonts w:ascii="宋体" w:hAnsi="宋体"/>
      <w:b/>
      <w:kern w:val="44"/>
      <w:szCs w:val="21"/>
    </w:rPr>
  </w:style>
  <w:style w:type="character" w:customStyle="1" w:styleId="10">
    <w:name w:val="页眉 Char"/>
    <w:basedOn w:val="8"/>
    <w:link w:val="5"/>
    <w:semiHidden/>
    <w:qFormat/>
    <w:uiPriority w:val="99"/>
    <w:rPr>
      <w:rFonts w:ascii="仿宋_GB2312" w:eastAsia="仿宋_GB2312"/>
      <w:kern w:val="2"/>
      <w:sz w:val="18"/>
      <w:szCs w:val="18"/>
    </w:rPr>
  </w:style>
  <w:style w:type="character" w:customStyle="1" w:styleId="11">
    <w:name w:val="页脚 Char"/>
    <w:basedOn w:val="8"/>
    <w:link w:val="4"/>
    <w:qFormat/>
    <w:uiPriority w:val="0"/>
    <w:rPr>
      <w:rFonts w:ascii="仿宋_GB2312" w:eastAsia="仿宋_GB2312"/>
      <w:kern w:val="2"/>
      <w:sz w:val="18"/>
      <w:szCs w:val="18"/>
    </w:rPr>
  </w:style>
  <w:style w:type="character" w:customStyle="1" w:styleId="12">
    <w:name w:val="批注框文本 Char"/>
    <w:basedOn w:val="8"/>
    <w:link w:val="3"/>
    <w:semiHidden/>
    <w:qFormat/>
    <w:uiPriority w:val="99"/>
    <w:rPr>
      <w:rFonts w:ascii="仿宋_GB2312" w:eastAsia="仿宋_GB2312"/>
      <w:kern w:val="2"/>
      <w:sz w:val="18"/>
      <w:szCs w:val="18"/>
    </w:rPr>
  </w:style>
  <w:style w:type="paragraph" w:customStyle="1" w:styleId="13">
    <w:name w:val="样式1"/>
    <w:basedOn w:val="1"/>
    <w:qFormat/>
    <w:uiPriority w:val="0"/>
    <w:pPr>
      <w:ind w:firstLine="602" w:firstLineChars="200"/>
    </w:pPr>
    <w:rPr>
      <w:rFonts w:ascii="仿宋" w:hAnsi="仿宋" w:eastAsia="仿宋"/>
      <w:sz w:val="30"/>
      <w:szCs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SGS</Company>
  <Pages>4</Pages>
  <Words>82</Words>
  <Characters>468</Characters>
  <Lines>3</Lines>
  <Paragraphs>1</Paragraphs>
  <TotalTime>1</TotalTime>
  <ScaleCrop>false</ScaleCrop>
  <LinksUpToDate>false</LinksUpToDate>
  <CharactersWithSpaces>549</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2021-06-09T16:59:00Z</dcterms:created>
  <dc:creator>王强</dc:creator>
  <cp:lastModifiedBy>scjuser</cp:lastModifiedBy>
  <cp:lastPrinted>2024-02-22T06:05:00Z</cp:lastPrinted>
  <dcterms:modified xsi:type="dcterms:W3CDTF">2024-04-16T15:05:38Z</dcterms:modified>
  <dc:title>上海市市场监督管理局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